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D358" w14:textId="53A257E3" w:rsidR="00FE7CE8" w:rsidRPr="00E106A8" w:rsidRDefault="00FE7CE8" w:rsidP="00B639C4">
      <w:pPr>
        <w:rPr>
          <w:rFonts w:cstheme="minorHAnsi"/>
          <w:bCs/>
          <w:sz w:val="20"/>
          <w:szCs w:val="20"/>
        </w:rPr>
      </w:pPr>
      <w:r w:rsidRPr="00E106A8">
        <w:rPr>
          <w:rFonts w:cstheme="minorHAnsi"/>
          <w:b/>
          <w:sz w:val="20"/>
          <w:szCs w:val="20"/>
        </w:rPr>
        <w:t>Sample Letter of Medical</w:t>
      </w:r>
      <w:r w:rsidR="00970155" w:rsidRPr="00E106A8">
        <w:rPr>
          <w:rFonts w:cstheme="minorHAnsi"/>
          <w:b/>
          <w:sz w:val="20"/>
          <w:szCs w:val="20"/>
        </w:rPr>
        <w:t xml:space="preserve"> Necessity or</w:t>
      </w:r>
      <w:r w:rsidRPr="00E106A8">
        <w:rPr>
          <w:rFonts w:cstheme="minorHAnsi"/>
          <w:b/>
          <w:sz w:val="20"/>
          <w:szCs w:val="20"/>
        </w:rPr>
        <w:t xml:space="preserve"> </w:t>
      </w:r>
      <w:r w:rsidR="002D6730" w:rsidRPr="00E106A8">
        <w:rPr>
          <w:rFonts w:cstheme="minorHAnsi"/>
          <w:b/>
          <w:sz w:val="20"/>
          <w:szCs w:val="20"/>
        </w:rPr>
        <w:t xml:space="preserve">Medical </w:t>
      </w:r>
      <w:r w:rsidRPr="00E106A8">
        <w:rPr>
          <w:rFonts w:cstheme="minorHAnsi"/>
          <w:b/>
          <w:sz w:val="20"/>
          <w:szCs w:val="20"/>
        </w:rPr>
        <w:t xml:space="preserve">Exception: </w:t>
      </w:r>
      <w:r w:rsidRPr="00E106A8">
        <w:rPr>
          <w:rFonts w:cstheme="minorHAnsi"/>
          <w:bCs/>
          <w:sz w:val="20"/>
          <w:szCs w:val="20"/>
        </w:rPr>
        <w:t xml:space="preserve">This template is intended to be used as a resource. Use of this template or the information in this template does not guarantee reimbursement or coverage. Please note that some payers may have specific forms that must be completed </w:t>
      </w:r>
      <w:r w:rsidR="001B06F1" w:rsidRPr="00E106A8">
        <w:rPr>
          <w:rFonts w:cstheme="minorHAnsi"/>
          <w:bCs/>
          <w:sz w:val="20"/>
          <w:szCs w:val="20"/>
        </w:rPr>
        <w:t>to</w:t>
      </w:r>
      <w:r w:rsidRPr="00E106A8">
        <w:rPr>
          <w:rFonts w:cstheme="minorHAnsi"/>
          <w:bCs/>
          <w:sz w:val="20"/>
          <w:szCs w:val="20"/>
        </w:rPr>
        <w:t xml:space="preserve"> document </w:t>
      </w:r>
      <w:r w:rsidR="00F82232" w:rsidRPr="00E106A8">
        <w:rPr>
          <w:rFonts w:cstheme="minorHAnsi"/>
          <w:bCs/>
          <w:sz w:val="20"/>
          <w:szCs w:val="20"/>
        </w:rPr>
        <w:t>m</w:t>
      </w:r>
      <w:r w:rsidRPr="00E106A8">
        <w:rPr>
          <w:rFonts w:cstheme="minorHAnsi"/>
          <w:bCs/>
          <w:sz w:val="20"/>
          <w:szCs w:val="20"/>
        </w:rPr>
        <w:t>edical exception</w:t>
      </w:r>
      <w:r w:rsidR="00F82232" w:rsidRPr="00E106A8">
        <w:rPr>
          <w:rFonts w:cstheme="minorHAnsi"/>
          <w:bCs/>
          <w:sz w:val="20"/>
          <w:szCs w:val="20"/>
        </w:rPr>
        <w:t>s</w:t>
      </w:r>
      <w:r w:rsidR="004A36F3" w:rsidRPr="00E106A8">
        <w:rPr>
          <w:rFonts w:cstheme="minorHAnsi"/>
          <w:bCs/>
          <w:sz w:val="20"/>
          <w:szCs w:val="20"/>
        </w:rPr>
        <w:t xml:space="preserve"> or </w:t>
      </w:r>
      <w:r w:rsidR="00F82232" w:rsidRPr="00E106A8">
        <w:rPr>
          <w:rFonts w:cstheme="minorHAnsi"/>
          <w:bCs/>
          <w:sz w:val="20"/>
          <w:szCs w:val="20"/>
        </w:rPr>
        <w:t xml:space="preserve">cases of </w:t>
      </w:r>
      <w:r w:rsidR="004A36F3" w:rsidRPr="00E106A8">
        <w:rPr>
          <w:rFonts w:cstheme="minorHAnsi"/>
          <w:bCs/>
          <w:sz w:val="20"/>
          <w:szCs w:val="20"/>
        </w:rPr>
        <w:t>medical necessity</w:t>
      </w:r>
      <w:r w:rsidRPr="00E106A8">
        <w:rPr>
          <w:rFonts w:cstheme="minorHAnsi"/>
          <w:bCs/>
          <w:sz w:val="20"/>
          <w:szCs w:val="20"/>
        </w:rPr>
        <w:t xml:space="preserve">. You can modify the content in </w:t>
      </w:r>
      <w:r w:rsidR="002D6730" w:rsidRPr="00E106A8">
        <w:rPr>
          <w:rFonts w:cstheme="minorHAnsi"/>
          <w:bCs/>
          <w:sz w:val="20"/>
          <w:szCs w:val="20"/>
        </w:rPr>
        <w:t xml:space="preserve">this </w:t>
      </w:r>
      <w:r w:rsidRPr="00E106A8">
        <w:rPr>
          <w:rFonts w:cstheme="minorHAnsi"/>
          <w:bCs/>
          <w:sz w:val="20"/>
          <w:szCs w:val="20"/>
        </w:rPr>
        <w:t>letter as needed based on your medical judgment and discretion</w:t>
      </w:r>
      <w:r w:rsidR="002D6730" w:rsidRPr="00E106A8">
        <w:rPr>
          <w:rFonts w:cstheme="minorHAnsi"/>
          <w:bCs/>
          <w:sz w:val="20"/>
          <w:szCs w:val="20"/>
        </w:rPr>
        <w:t>,</w:t>
      </w:r>
      <w:r w:rsidRPr="00E106A8">
        <w:rPr>
          <w:rFonts w:cstheme="minorHAnsi"/>
          <w:bCs/>
          <w:sz w:val="20"/>
          <w:szCs w:val="20"/>
        </w:rPr>
        <w:t xml:space="preserve"> or you can write your own</w:t>
      </w:r>
      <w:r w:rsidR="00183638" w:rsidRPr="00E106A8">
        <w:rPr>
          <w:rFonts w:cstheme="minorHAnsi"/>
          <w:bCs/>
          <w:sz w:val="20"/>
          <w:szCs w:val="20"/>
        </w:rPr>
        <w:t xml:space="preserve"> letter</w:t>
      </w:r>
      <w:r w:rsidRPr="00E106A8">
        <w:rPr>
          <w:rFonts w:cstheme="minorHAnsi"/>
          <w:bCs/>
          <w:sz w:val="20"/>
          <w:szCs w:val="20"/>
        </w:rPr>
        <w:t>.</w:t>
      </w:r>
      <w:r w:rsidR="00970155" w:rsidRPr="00E106A8">
        <w:rPr>
          <w:rFonts w:cstheme="minorHAnsi"/>
          <w:bCs/>
          <w:sz w:val="20"/>
          <w:szCs w:val="20"/>
        </w:rPr>
        <w:t xml:space="preserve"> </w:t>
      </w:r>
    </w:p>
    <w:p w14:paraId="422508B9" w14:textId="77777777" w:rsidR="00377318" w:rsidRPr="007C175E" w:rsidRDefault="00377318" w:rsidP="00B639C4">
      <w:pPr>
        <w:rPr>
          <w:rFonts w:cstheme="minorHAnsi"/>
          <w:b/>
        </w:rPr>
      </w:pPr>
    </w:p>
    <w:p w14:paraId="15CAB7DC" w14:textId="77777777" w:rsidR="00377318" w:rsidRPr="007C175E" w:rsidRDefault="00377318" w:rsidP="00377318">
      <w:pPr>
        <w:rPr>
          <w:b/>
          <w:bCs/>
          <w:sz w:val="20"/>
          <w:szCs w:val="20"/>
        </w:rPr>
      </w:pPr>
      <w:r w:rsidRPr="007C175E">
        <w:rPr>
          <w:b/>
          <w:bCs/>
          <w:sz w:val="20"/>
          <w:szCs w:val="20"/>
        </w:rPr>
        <w:t xml:space="preserve">INDICATIONS </w:t>
      </w:r>
    </w:p>
    <w:p w14:paraId="1CFC2DD1" w14:textId="77777777" w:rsidR="00377318" w:rsidRPr="007C175E" w:rsidRDefault="00377318" w:rsidP="00377318">
      <w:pPr>
        <w:rPr>
          <w:sz w:val="20"/>
          <w:szCs w:val="20"/>
        </w:rPr>
      </w:pPr>
      <w:r w:rsidRPr="007C175E">
        <w:rPr>
          <w:sz w:val="20"/>
          <w:szCs w:val="20"/>
        </w:rPr>
        <w:t xml:space="preserve">Myfembree is indicated in premenopausal women for the management of: </w:t>
      </w:r>
    </w:p>
    <w:p w14:paraId="11767BED" w14:textId="77777777" w:rsidR="00377318" w:rsidRPr="007C175E" w:rsidRDefault="00377318" w:rsidP="00377318">
      <w:pPr>
        <w:pStyle w:val="ListParagraph"/>
        <w:numPr>
          <w:ilvl w:val="0"/>
          <w:numId w:val="15"/>
        </w:numPr>
        <w:rPr>
          <w:sz w:val="20"/>
          <w:szCs w:val="20"/>
        </w:rPr>
      </w:pPr>
      <w:r w:rsidRPr="007C175E">
        <w:rPr>
          <w:sz w:val="20"/>
          <w:szCs w:val="20"/>
        </w:rPr>
        <w:t xml:space="preserve">Heavy menstrual bleeding associated with uterine leiomyomas (fibroids) </w:t>
      </w:r>
    </w:p>
    <w:p w14:paraId="097CF424" w14:textId="77777777" w:rsidR="00377318" w:rsidRPr="007C175E" w:rsidRDefault="00377318" w:rsidP="00377318">
      <w:pPr>
        <w:pStyle w:val="ListParagraph"/>
        <w:numPr>
          <w:ilvl w:val="0"/>
          <w:numId w:val="15"/>
        </w:numPr>
        <w:rPr>
          <w:sz w:val="20"/>
          <w:szCs w:val="20"/>
        </w:rPr>
      </w:pPr>
      <w:r w:rsidRPr="007C175E">
        <w:rPr>
          <w:sz w:val="20"/>
          <w:szCs w:val="20"/>
        </w:rPr>
        <w:t xml:space="preserve">Moderate to severe pain associated with endometriosis </w:t>
      </w:r>
    </w:p>
    <w:p w14:paraId="19AEAFAB" w14:textId="77777777" w:rsidR="00377318" w:rsidRPr="007C175E" w:rsidRDefault="00377318" w:rsidP="00377318">
      <w:pPr>
        <w:pStyle w:val="ListParagraph"/>
        <w:rPr>
          <w:sz w:val="20"/>
          <w:szCs w:val="20"/>
        </w:rPr>
      </w:pPr>
    </w:p>
    <w:p w14:paraId="5D95FB80" w14:textId="77777777" w:rsidR="00377318" w:rsidRPr="007C175E" w:rsidRDefault="00377318" w:rsidP="00377318">
      <w:pPr>
        <w:rPr>
          <w:sz w:val="20"/>
          <w:szCs w:val="20"/>
        </w:rPr>
      </w:pPr>
      <w:r w:rsidRPr="007C175E">
        <w:rPr>
          <w:sz w:val="20"/>
          <w:szCs w:val="20"/>
          <w:u w:val="single"/>
        </w:rPr>
        <w:t>Limitations of Use</w:t>
      </w:r>
      <w:r w:rsidRPr="007C175E">
        <w:rPr>
          <w:sz w:val="20"/>
          <w:szCs w:val="20"/>
        </w:rPr>
        <w:t>: Use of Myfembree should be limited to 24 months due to the risk of continued bone loss which may not be reversible.</w:t>
      </w:r>
    </w:p>
    <w:p w14:paraId="5DDE492C" w14:textId="77777777" w:rsidR="00377318" w:rsidRPr="007C175E" w:rsidRDefault="00377318" w:rsidP="00377318">
      <w:pPr>
        <w:rPr>
          <w:b/>
          <w:bCs/>
          <w:sz w:val="20"/>
          <w:szCs w:val="20"/>
        </w:rPr>
      </w:pPr>
    </w:p>
    <w:p w14:paraId="33A9F780" w14:textId="0D2ECBBD" w:rsidR="00377318" w:rsidRPr="007C175E" w:rsidRDefault="00377318" w:rsidP="00ED764D">
      <w:pPr>
        <w:spacing w:after="60"/>
        <w:rPr>
          <w:b/>
          <w:bCs/>
          <w:sz w:val="20"/>
          <w:szCs w:val="20"/>
        </w:rPr>
      </w:pPr>
      <w:r w:rsidRPr="007C175E">
        <w:rPr>
          <w:b/>
          <w:bCs/>
          <w:sz w:val="20"/>
          <w:szCs w:val="20"/>
        </w:rPr>
        <w:t xml:space="preserve">IMPORTANT SAFETY INFORMATION </w:t>
      </w:r>
    </w:p>
    <w:p w14:paraId="1A88AD2A" w14:textId="77777777" w:rsidR="00377318" w:rsidRPr="007C175E" w:rsidRDefault="00377318" w:rsidP="00ED764D">
      <w:pPr>
        <w:spacing w:after="60"/>
        <w:rPr>
          <w:sz w:val="20"/>
          <w:szCs w:val="20"/>
        </w:rPr>
      </w:pPr>
      <w:r w:rsidRPr="007C175E">
        <w:rPr>
          <w:b/>
          <w:bCs/>
          <w:sz w:val="20"/>
          <w:szCs w:val="20"/>
        </w:rPr>
        <w:t>BOXED WARNING:</w:t>
      </w:r>
      <w:r w:rsidRPr="007C175E">
        <w:rPr>
          <w:sz w:val="20"/>
          <w:szCs w:val="20"/>
        </w:rPr>
        <w:t xml:space="preserve"> </w:t>
      </w:r>
      <w:r w:rsidRPr="004D082E">
        <w:rPr>
          <w:b/>
          <w:bCs/>
          <w:sz w:val="20"/>
          <w:szCs w:val="20"/>
        </w:rPr>
        <w:t>THROMBOEMBOLIC DISORDERS AND VASCULAR EVENTS</w:t>
      </w:r>
      <w:r w:rsidRPr="007C175E">
        <w:rPr>
          <w:sz w:val="20"/>
          <w:szCs w:val="20"/>
        </w:rPr>
        <w:t xml:space="preserve"> </w:t>
      </w:r>
    </w:p>
    <w:p w14:paraId="0867D890" w14:textId="77777777" w:rsidR="00377318" w:rsidRPr="007C175E" w:rsidRDefault="00377318" w:rsidP="00377318">
      <w:pPr>
        <w:pStyle w:val="ListParagraph"/>
        <w:numPr>
          <w:ilvl w:val="0"/>
          <w:numId w:val="16"/>
        </w:numPr>
        <w:spacing w:after="60"/>
        <w:rPr>
          <w:sz w:val="20"/>
          <w:szCs w:val="20"/>
        </w:rPr>
      </w:pPr>
      <w:r w:rsidRPr="007C175E">
        <w:rPr>
          <w:sz w:val="20"/>
          <w:szCs w:val="20"/>
        </w:rPr>
        <w:t xml:space="preserve">Estrogen and progestin combinations, including Myfembree, increase the risk of thrombotic or thromboembolic disorders including pulmonary embolism, deep vein thrombosis, stroke and myocardial infarction, especially in women at increased risk for these events. </w:t>
      </w:r>
    </w:p>
    <w:p w14:paraId="12EBB78D" w14:textId="77777777" w:rsidR="00377318" w:rsidRPr="007C175E" w:rsidRDefault="00377318" w:rsidP="00377318">
      <w:pPr>
        <w:pStyle w:val="ListParagraph"/>
        <w:numPr>
          <w:ilvl w:val="0"/>
          <w:numId w:val="16"/>
        </w:numPr>
        <w:spacing w:after="60"/>
        <w:rPr>
          <w:sz w:val="20"/>
          <w:szCs w:val="20"/>
        </w:rPr>
      </w:pPr>
      <w:r w:rsidRPr="007C175E">
        <w:rPr>
          <w:sz w:val="20"/>
          <w:szCs w:val="20"/>
        </w:rPr>
        <w:t xml:space="preserve">Myfembree is contraindicated in women with current or a history of thrombotic or thromboembolic disorders and those at increased risk for these events, including women &gt;35 years of age who smoke or with uncontrolled hypertension. </w:t>
      </w:r>
    </w:p>
    <w:p w14:paraId="77ED4847" w14:textId="77777777" w:rsidR="00377318" w:rsidRPr="007C175E" w:rsidRDefault="00377318" w:rsidP="00377318">
      <w:pPr>
        <w:spacing w:after="60"/>
        <w:rPr>
          <w:sz w:val="20"/>
          <w:szCs w:val="20"/>
        </w:rPr>
      </w:pPr>
      <w:r w:rsidRPr="007C175E">
        <w:rPr>
          <w:b/>
          <w:bCs/>
          <w:sz w:val="20"/>
          <w:szCs w:val="20"/>
        </w:rPr>
        <w:t>CONTRAINDICATIONS</w:t>
      </w:r>
      <w:r w:rsidRPr="007C175E">
        <w:rPr>
          <w:sz w:val="20"/>
          <w:szCs w:val="20"/>
        </w:rPr>
        <w:t xml:space="preserve"> </w:t>
      </w:r>
    </w:p>
    <w:p w14:paraId="64FAC480" w14:textId="77777777" w:rsidR="00377318" w:rsidRPr="007C175E" w:rsidRDefault="00377318" w:rsidP="00377318">
      <w:pPr>
        <w:spacing w:after="60"/>
        <w:rPr>
          <w:sz w:val="20"/>
          <w:szCs w:val="20"/>
        </w:rPr>
      </w:pPr>
      <w:r w:rsidRPr="007C175E">
        <w:rPr>
          <w:sz w:val="20"/>
          <w:szCs w:val="20"/>
        </w:rPr>
        <w:t xml:space="preserve">Myfembree is contraindicated in women </w:t>
      </w:r>
      <w:proofErr w:type="gramStart"/>
      <w:r w:rsidRPr="007C175E">
        <w:rPr>
          <w:sz w:val="20"/>
          <w:szCs w:val="20"/>
        </w:rPr>
        <w:t>with:</w:t>
      </w:r>
      <w:proofErr w:type="gramEnd"/>
      <w:r w:rsidRPr="007C175E">
        <w:rPr>
          <w:sz w:val="20"/>
          <w:szCs w:val="20"/>
        </w:rPr>
        <w:t xml:space="preserve"> high risk of arterial, venous thrombotic, or thromboembolic disorder; pregnancy; known osteoporosis; current or history of breast- or other hormone-sensitive cancers; known hepatic impairment or disease; undiagnosed abnormal uterine bleeding; known hypersensitivity to components of Myfembree. </w:t>
      </w:r>
    </w:p>
    <w:p w14:paraId="03515452" w14:textId="77777777" w:rsidR="00377318" w:rsidRPr="007C175E" w:rsidRDefault="00377318" w:rsidP="00ED764D">
      <w:pPr>
        <w:spacing w:after="60"/>
        <w:rPr>
          <w:b/>
          <w:bCs/>
          <w:sz w:val="20"/>
          <w:szCs w:val="20"/>
        </w:rPr>
      </w:pPr>
      <w:r w:rsidRPr="007C175E">
        <w:rPr>
          <w:b/>
          <w:bCs/>
          <w:sz w:val="20"/>
          <w:szCs w:val="20"/>
        </w:rPr>
        <w:t xml:space="preserve">WARNINGS AND PRECAUTIONS </w:t>
      </w:r>
    </w:p>
    <w:p w14:paraId="621C7DE4" w14:textId="22C9B7B2" w:rsidR="00377318" w:rsidRPr="007C175E" w:rsidRDefault="00377318" w:rsidP="00ED764D">
      <w:pPr>
        <w:spacing w:after="60"/>
        <w:rPr>
          <w:sz w:val="20"/>
          <w:szCs w:val="20"/>
        </w:rPr>
      </w:pPr>
      <w:r w:rsidRPr="007C175E">
        <w:rPr>
          <w:b/>
          <w:bCs/>
          <w:sz w:val="20"/>
          <w:szCs w:val="20"/>
        </w:rPr>
        <w:t>Thromboembolic Disorders:</w:t>
      </w:r>
      <w:r w:rsidRPr="007C175E">
        <w:rPr>
          <w:sz w:val="20"/>
          <w:szCs w:val="20"/>
        </w:rPr>
        <w:t xml:space="preserve"> Discontinue immediately if an arterial or venous thrombotic, cardiovascular, or cerebrovascular event occurs or is suspected; or if there is sudden unexplained partial or complete loss of vision, proptosis, diplopia, papilledema or retinal vascular lesions and evaluate for retinal vein thrombosis. Discontinue </w:t>
      </w:r>
      <w:r w:rsidR="00737EA9">
        <w:rPr>
          <w:rFonts w:cstheme="minorHAnsi"/>
          <w:sz w:val="20"/>
          <w:szCs w:val="20"/>
        </w:rPr>
        <w:t>≥</w:t>
      </w:r>
      <w:r w:rsidRPr="007C175E">
        <w:rPr>
          <w:sz w:val="20"/>
          <w:szCs w:val="20"/>
        </w:rPr>
        <w:t xml:space="preserve">4 to 6 weeks before surgery associated with an increased risk of thromboembolism or during prolonged immobilization. </w:t>
      </w:r>
    </w:p>
    <w:p w14:paraId="7A168532" w14:textId="77777777" w:rsidR="00377318" w:rsidRPr="007C175E" w:rsidRDefault="00377318" w:rsidP="00377318">
      <w:pPr>
        <w:spacing w:after="60"/>
        <w:rPr>
          <w:sz w:val="20"/>
          <w:szCs w:val="20"/>
        </w:rPr>
      </w:pPr>
      <w:r w:rsidRPr="007C175E">
        <w:rPr>
          <w:b/>
          <w:bCs/>
          <w:sz w:val="20"/>
          <w:szCs w:val="20"/>
        </w:rPr>
        <w:t>Bone Loss:</w:t>
      </w:r>
      <w:r w:rsidRPr="007C175E">
        <w:rPr>
          <w:sz w:val="20"/>
          <w:szCs w:val="20"/>
        </w:rPr>
        <w:t xml:space="preserve"> Myfembree may decrease bone mineral density (BMD) in some patients, which may be greater with longer use and may not be completely reversible. Consider the benefits and risks in patients with a history of low trauma fracture or risk factors for osteoporosis or bone loss. Baseline dual-energy X-ray absorptiometry (DXA) is recommended in all women. During treatment, DXA is recommended periodically for heavy menstrual bleeding due to uterine fibroids and annually for moderate to severe endometriosis pain. </w:t>
      </w:r>
    </w:p>
    <w:p w14:paraId="4D00B930" w14:textId="77777777" w:rsidR="00377318" w:rsidRPr="007C175E" w:rsidRDefault="00377318" w:rsidP="00377318">
      <w:pPr>
        <w:spacing w:after="60"/>
        <w:rPr>
          <w:sz w:val="20"/>
          <w:szCs w:val="20"/>
        </w:rPr>
      </w:pPr>
      <w:r w:rsidRPr="007C175E">
        <w:rPr>
          <w:b/>
          <w:bCs/>
          <w:sz w:val="20"/>
          <w:szCs w:val="20"/>
        </w:rPr>
        <w:t>Hormone-Sensitive Malignancies:</w:t>
      </w:r>
      <w:r w:rsidRPr="007C175E">
        <w:rPr>
          <w:sz w:val="20"/>
          <w:szCs w:val="20"/>
        </w:rPr>
        <w:t xml:space="preserve"> Discontinue Myfembree if a hormone-sensitive malignancy is diagnosed. Breast exams and mammography are recommended. Use of estrogen alone or estrogen plus progestin has resulted in abnormal mammograms requiring further evaluation. </w:t>
      </w:r>
    </w:p>
    <w:p w14:paraId="2FCD412D" w14:textId="77777777" w:rsidR="00377318" w:rsidRPr="007C175E" w:rsidRDefault="00377318" w:rsidP="00377318">
      <w:pPr>
        <w:spacing w:after="60"/>
        <w:rPr>
          <w:sz w:val="20"/>
          <w:szCs w:val="20"/>
        </w:rPr>
      </w:pPr>
      <w:r w:rsidRPr="007C175E">
        <w:rPr>
          <w:b/>
          <w:bCs/>
          <w:sz w:val="20"/>
          <w:szCs w:val="20"/>
        </w:rPr>
        <w:t>Suicidal Ideation and Mood Disorders (Including Depression):</w:t>
      </w:r>
      <w:r w:rsidRPr="007C175E">
        <w:rPr>
          <w:sz w:val="20"/>
          <w:szCs w:val="20"/>
        </w:rPr>
        <w:t xml:space="preserve"> Evaluate patients with a history of suicidal ideation, depression, and mood disorders before starting treatment. Monitor for these symptoms including shortly after initiating treatment. Advise patients to seek medical care for new or worsening depression, anxiety, other mood changes, or suicidal ideation and behavior. Gonadotropin-releasing hormone receptor antagonists, including Myfembree, have been associated with mood disorders (including depression) and suicidal ideation. </w:t>
      </w:r>
    </w:p>
    <w:p w14:paraId="704A33E9" w14:textId="77777777" w:rsidR="00377318" w:rsidRPr="007C175E" w:rsidRDefault="00377318" w:rsidP="00377318">
      <w:pPr>
        <w:spacing w:after="60"/>
        <w:rPr>
          <w:sz w:val="20"/>
          <w:szCs w:val="20"/>
        </w:rPr>
      </w:pPr>
      <w:r w:rsidRPr="007C175E">
        <w:rPr>
          <w:b/>
          <w:bCs/>
          <w:sz w:val="20"/>
          <w:szCs w:val="20"/>
        </w:rPr>
        <w:t>Hepatic Impairment and Transaminase Elevations:</w:t>
      </w:r>
      <w:r w:rsidRPr="007C175E">
        <w:rPr>
          <w:sz w:val="20"/>
          <w:szCs w:val="20"/>
        </w:rPr>
        <w:t xml:space="preserve"> Due to poor metabolism of steroid hormones, instruct these patients to promptly seek medical care for symptoms/signs of liver injury, e.g., jaundice or right upper abdominal pain. Acute liver test abnormalities may require discontinuing Myfembree until tests return to normal and Myfembree causation is excluded.</w:t>
      </w:r>
    </w:p>
    <w:p w14:paraId="69B6664E" w14:textId="77777777" w:rsidR="00377318" w:rsidRPr="007C175E" w:rsidRDefault="00377318" w:rsidP="00377318">
      <w:pPr>
        <w:spacing w:after="60"/>
        <w:rPr>
          <w:sz w:val="20"/>
          <w:szCs w:val="20"/>
        </w:rPr>
      </w:pPr>
      <w:r w:rsidRPr="007C175E">
        <w:rPr>
          <w:b/>
          <w:bCs/>
          <w:sz w:val="20"/>
          <w:szCs w:val="20"/>
        </w:rPr>
        <w:t>Gallbladder Disease or History of Cholestatic Jaundice:</w:t>
      </w:r>
      <w:r w:rsidRPr="007C175E">
        <w:rPr>
          <w:sz w:val="20"/>
          <w:szCs w:val="20"/>
        </w:rPr>
        <w:t xml:space="preserve"> Discontinue Myfembree if signs/symptoms of gallbladder disease or jaundice occur. Studies among estrogen users suggest a small increased relative risk of developing gallbladder disease. </w:t>
      </w:r>
    </w:p>
    <w:p w14:paraId="3E09B86C" w14:textId="77777777" w:rsidR="00E106A8" w:rsidRDefault="00377318" w:rsidP="00377318">
      <w:pPr>
        <w:spacing w:after="60"/>
        <w:rPr>
          <w:sz w:val="20"/>
          <w:szCs w:val="20"/>
        </w:rPr>
      </w:pPr>
      <w:r w:rsidRPr="007C175E">
        <w:rPr>
          <w:b/>
          <w:bCs/>
          <w:sz w:val="20"/>
          <w:szCs w:val="20"/>
        </w:rPr>
        <w:t>Elevated Blood Pressure:</w:t>
      </w:r>
      <w:r w:rsidRPr="007C175E">
        <w:rPr>
          <w:sz w:val="20"/>
          <w:szCs w:val="20"/>
        </w:rPr>
        <w:t xml:space="preserve"> Do not use in women with uncontrolled hypertension. For women with well-controlled hypertension, continue to monitor blood pressure and stop Myfembree if blood pressure rises significantly.</w:t>
      </w:r>
    </w:p>
    <w:p w14:paraId="157FB77F" w14:textId="15F4E07A" w:rsidR="00377318" w:rsidRPr="007C175E" w:rsidRDefault="00377318" w:rsidP="00377318">
      <w:pPr>
        <w:spacing w:after="60"/>
        <w:rPr>
          <w:sz w:val="20"/>
          <w:szCs w:val="20"/>
        </w:rPr>
      </w:pPr>
      <w:r w:rsidRPr="007C175E">
        <w:rPr>
          <w:b/>
          <w:bCs/>
          <w:sz w:val="20"/>
          <w:szCs w:val="20"/>
        </w:rPr>
        <w:lastRenderedPageBreak/>
        <w:t>Change in Menstrual Bleeding Pattern and Reduced Ability to Recognize Pregnancy</w:t>
      </w:r>
      <w:r w:rsidRPr="007C175E">
        <w:rPr>
          <w:sz w:val="20"/>
          <w:szCs w:val="20"/>
        </w:rPr>
        <w:t xml:space="preserve">: Advise women to use non-hormonal contraception during and for one week after discontinuing Myfembree. Avoid use with hormonal contraceptives. Myfembree may delay recognition of pregnancy because it alters menstrual bleeding. Test for pregnancy if suspected and discontinue Myfembree if confirmed. </w:t>
      </w:r>
    </w:p>
    <w:p w14:paraId="5FAF51F6" w14:textId="77777777" w:rsidR="00377318" w:rsidRPr="007C175E" w:rsidRDefault="00377318" w:rsidP="00377318">
      <w:pPr>
        <w:spacing w:after="60"/>
        <w:rPr>
          <w:sz w:val="20"/>
          <w:szCs w:val="20"/>
        </w:rPr>
      </w:pPr>
      <w:r w:rsidRPr="007C175E">
        <w:rPr>
          <w:b/>
          <w:bCs/>
          <w:sz w:val="20"/>
          <w:szCs w:val="20"/>
        </w:rPr>
        <w:t>Risk of Early Pregnancy Loss:</w:t>
      </w:r>
      <w:r w:rsidRPr="007C175E">
        <w:rPr>
          <w:sz w:val="20"/>
          <w:szCs w:val="20"/>
        </w:rPr>
        <w:t xml:space="preserve"> Myfembree can cause early pregnancy loss. Exclude pregnancy before initiating and advise women to use non-hormonal contraception. </w:t>
      </w:r>
    </w:p>
    <w:p w14:paraId="63E82780" w14:textId="77777777" w:rsidR="00377318" w:rsidRPr="007C175E" w:rsidRDefault="00377318" w:rsidP="00377318">
      <w:pPr>
        <w:spacing w:after="60"/>
        <w:rPr>
          <w:sz w:val="20"/>
          <w:szCs w:val="20"/>
        </w:rPr>
      </w:pPr>
      <w:r w:rsidRPr="007C175E">
        <w:rPr>
          <w:b/>
          <w:bCs/>
          <w:sz w:val="20"/>
          <w:szCs w:val="20"/>
        </w:rPr>
        <w:t>Uterine Fibroid Prolapse or Expulsion:</w:t>
      </w:r>
      <w:r w:rsidRPr="007C175E">
        <w:rPr>
          <w:sz w:val="20"/>
          <w:szCs w:val="20"/>
        </w:rPr>
        <w:t xml:space="preserve"> Advise women with known or suspected submucosal uterine fibroids about the risk of uterine fibroid prolapse or expulsion and instruct them to contact their physician if severe bleeding/cramping occurs. </w:t>
      </w:r>
    </w:p>
    <w:p w14:paraId="5C40513C" w14:textId="77777777" w:rsidR="00377318" w:rsidRPr="007C175E" w:rsidRDefault="00377318" w:rsidP="00377318">
      <w:pPr>
        <w:spacing w:after="60"/>
        <w:rPr>
          <w:sz w:val="20"/>
          <w:szCs w:val="20"/>
        </w:rPr>
      </w:pPr>
      <w:r w:rsidRPr="007C175E">
        <w:rPr>
          <w:b/>
          <w:bCs/>
          <w:sz w:val="20"/>
          <w:szCs w:val="20"/>
        </w:rPr>
        <w:t>Alopecia:</w:t>
      </w:r>
      <w:r w:rsidRPr="007C175E">
        <w:rPr>
          <w:sz w:val="20"/>
          <w:szCs w:val="20"/>
        </w:rPr>
        <w:t xml:space="preserve"> Alopecia, hair loss, and hair thinning were reported in phase 3 trials in women with heavy menstrual bleeding associated with uterine fibroids with Myfembree. Whether hair loss is reversible is unknown. </w:t>
      </w:r>
    </w:p>
    <w:p w14:paraId="2A794EAE" w14:textId="77777777" w:rsidR="00377318" w:rsidRPr="007C175E" w:rsidRDefault="00377318" w:rsidP="00377318">
      <w:pPr>
        <w:spacing w:after="60"/>
        <w:rPr>
          <w:sz w:val="20"/>
          <w:szCs w:val="20"/>
        </w:rPr>
      </w:pPr>
      <w:r w:rsidRPr="007C175E">
        <w:rPr>
          <w:b/>
          <w:bCs/>
          <w:sz w:val="20"/>
          <w:szCs w:val="20"/>
        </w:rPr>
        <w:t>Effects on</w:t>
      </w:r>
      <w:r w:rsidRPr="007C175E">
        <w:rPr>
          <w:sz w:val="20"/>
          <w:szCs w:val="20"/>
        </w:rPr>
        <w:t xml:space="preserve"> </w:t>
      </w:r>
      <w:r w:rsidRPr="007C175E">
        <w:rPr>
          <w:b/>
          <w:bCs/>
          <w:sz w:val="20"/>
          <w:szCs w:val="20"/>
        </w:rPr>
        <w:t>Carbohydrate and Lipid Metabolism:</w:t>
      </w:r>
      <w:r w:rsidRPr="007C175E">
        <w:rPr>
          <w:sz w:val="20"/>
          <w:szCs w:val="20"/>
        </w:rPr>
        <w:t xml:space="preserve"> More frequent monitoring in women with prediabetes and diabetes may be necessary. Myfembree may decrease glucose tolerance and increase blood glucose concentrations. Monitor lipid levels and consider discontinuing if hypercholesterolemia or hypertriglyceridemia worsens. In women with pre-existing hypertriglyceridemia, estrogen therapy may increase triglycerides levels leading to pancreatitis. Myfembree is associated with increases in total cholesterol and LDL-C. </w:t>
      </w:r>
    </w:p>
    <w:p w14:paraId="0ACC2190" w14:textId="77777777" w:rsidR="00377318" w:rsidRPr="007C175E" w:rsidRDefault="00377318" w:rsidP="00377318">
      <w:pPr>
        <w:spacing w:after="60"/>
        <w:rPr>
          <w:sz w:val="20"/>
          <w:szCs w:val="20"/>
        </w:rPr>
      </w:pPr>
      <w:r w:rsidRPr="007C175E">
        <w:rPr>
          <w:b/>
          <w:bCs/>
          <w:sz w:val="20"/>
          <w:szCs w:val="20"/>
        </w:rPr>
        <w:t>Effect on Other Laboratory Results:</w:t>
      </w:r>
      <w:r w:rsidRPr="007C175E">
        <w:rPr>
          <w:sz w:val="20"/>
          <w:szCs w:val="20"/>
        </w:rPr>
        <w:t xml:space="preserve"> Patients with hypothyroidism and hypoadrenalism may require higher doses of thyroid hormone or cortisol replacement therapy. Combined estrogen and progestin may raise serum concentrations of binding proteins, which may reduce free thyroid or corticosteroid hormone levels. Estrogen and progestin may also affect the levels of sex hormone-binding globulin and coagulation factors. </w:t>
      </w:r>
    </w:p>
    <w:p w14:paraId="54303534" w14:textId="77777777" w:rsidR="00377318" w:rsidRPr="007C175E" w:rsidRDefault="00377318" w:rsidP="00377318">
      <w:pPr>
        <w:spacing w:after="60"/>
        <w:rPr>
          <w:sz w:val="20"/>
          <w:szCs w:val="20"/>
        </w:rPr>
      </w:pPr>
      <w:r w:rsidRPr="007C175E">
        <w:rPr>
          <w:b/>
          <w:bCs/>
          <w:sz w:val="20"/>
          <w:szCs w:val="20"/>
        </w:rPr>
        <w:t>Hypersensitivity Reactions:</w:t>
      </w:r>
      <w:r w:rsidRPr="007C175E">
        <w:rPr>
          <w:sz w:val="20"/>
          <w:szCs w:val="20"/>
        </w:rPr>
        <w:t xml:space="preserve"> Immediately discontinue Myfembree if a hypersensitivity reaction occurs. </w:t>
      </w:r>
    </w:p>
    <w:p w14:paraId="3E03A838" w14:textId="77777777" w:rsidR="00377318" w:rsidRPr="007C175E" w:rsidRDefault="00377318" w:rsidP="00377318">
      <w:pPr>
        <w:rPr>
          <w:sz w:val="20"/>
          <w:szCs w:val="20"/>
        </w:rPr>
      </w:pPr>
      <w:r w:rsidRPr="007C175E">
        <w:rPr>
          <w:b/>
          <w:bCs/>
          <w:sz w:val="20"/>
          <w:szCs w:val="20"/>
        </w:rPr>
        <w:t>ADVERSE REACTIONS:</w:t>
      </w:r>
      <w:r w:rsidRPr="007C175E">
        <w:rPr>
          <w:sz w:val="20"/>
          <w:szCs w:val="20"/>
        </w:rPr>
        <w:t xml:space="preserve"> </w:t>
      </w:r>
      <w:r w:rsidRPr="007C175E">
        <w:rPr>
          <w:b/>
          <w:bCs/>
          <w:sz w:val="20"/>
          <w:szCs w:val="20"/>
        </w:rPr>
        <w:t xml:space="preserve">Most common adverse reactions </w:t>
      </w:r>
      <w:r w:rsidRPr="007C175E">
        <w:rPr>
          <w:sz w:val="20"/>
          <w:szCs w:val="20"/>
        </w:rPr>
        <w:t xml:space="preserve">(incidence ≥3% and greater than placebo) were: </w:t>
      </w:r>
    </w:p>
    <w:p w14:paraId="2D59395F" w14:textId="77777777" w:rsidR="00377318" w:rsidRPr="007C175E" w:rsidRDefault="00377318" w:rsidP="00377318">
      <w:pPr>
        <w:pStyle w:val="ListParagraph"/>
        <w:numPr>
          <w:ilvl w:val="0"/>
          <w:numId w:val="17"/>
        </w:numPr>
        <w:rPr>
          <w:sz w:val="20"/>
          <w:szCs w:val="20"/>
        </w:rPr>
      </w:pPr>
      <w:r w:rsidRPr="007C175E">
        <w:rPr>
          <w:sz w:val="20"/>
          <w:szCs w:val="20"/>
          <w:u w:val="single"/>
        </w:rPr>
        <w:t>Heavy menstrual bleeding associated with uterine fibroids</w:t>
      </w:r>
      <w:r w:rsidRPr="007C175E">
        <w:rPr>
          <w:sz w:val="20"/>
          <w:szCs w:val="20"/>
        </w:rPr>
        <w:t xml:space="preserve">: vasomotor symptoms, abnormal uterine bleeding, alopecia, and decreased libido. </w:t>
      </w:r>
    </w:p>
    <w:p w14:paraId="52FAC0DC" w14:textId="77777777" w:rsidR="00377318" w:rsidRDefault="00377318" w:rsidP="00377318">
      <w:pPr>
        <w:pStyle w:val="ListParagraph"/>
        <w:numPr>
          <w:ilvl w:val="0"/>
          <w:numId w:val="17"/>
        </w:numPr>
        <w:rPr>
          <w:sz w:val="20"/>
          <w:szCs w:val="20"/>
        </w:rPr>
      </w:pPr>
      <w:r w:rsidRPr="007C175E">
        <w:rPr>
          <w:sz w:val="20"/>
          <w:szCs w:val="20"/>
          <w:u w:val="single"/>
        </w:rPr>
        <w:t>Moderate to severe pain associated with endometriosis:</w:t>
      </w:r>
      <w:r w:rsidRPr="007C175E">
        <w:rPr>
          <w:sz w:val="20"/>
          <w:szCs w:val="20"/>
        </w:rPr>
        <w:t xml:space="preserve"> headache, vasomotor symptoms, mood disorders, abnormal uterine bleeding, nausea, toothache, back pain, decreased sexual desire and arousal, arthralgia, fatigue, and dizziness. </w:t>
      </w:r>
    </w:p>
    <w:p w14:paraId="373DFCAB" w14:textId="77777777" w:rsidR="00E106A8" w:rsidRPr="007C175E" w:rsidRDefault="00E106A8" w:rsidP="00E106A8">
      <w:pPr>
        <w:pStyle w:val="ListParagraph"/>
        <w:rPr>
          <w:sz w:val="20"/>
          <w:szCs w:val="20"/>
        </w:rPr>
      </w:pPr>
    </w:p>
    <w:p w14:paraId="78C59F78" w14:textId="77777777" w:rsidR="00377318" w:rsidRPr="007C175E" w:rsidRDefault="00377318" w:rsidP="00377318">
      <w:pPr>
        <w:rPr>
          <w:sz w:val="20"/>
          <w:szCs w:val="20"/>
        </w:rPr>
      </w:pPr>
      <w:r w:rsidRPr="007C175E">
        <w:rPr>
          <w:sz w:val="20"/>
          <w:szCs w:val="20"/>
        </w:rPr>
        <w:t>These are not all the possible side effects.</w:t>
      </w:r>
    </w:p>
    <w:p w14:paraId="25448A72" w14:textId="77777777" w:rsidR="0030527B" w:rsidRDefault="0030527B" w:rsidP="00B639C4">
      <w:pPr>
        <w:rPr>
          <w:rFonts w:cstheme="minorHAnsi"/>
          <w:b/>
        </w:rPr>
      </w:pPr>
    </w:p>
    <w:p w14:paraId="1B5E160C" w14:textId="77777777" w:rsidR="007C175E" w:rsidRDefault="007C175E" w:rsidP="00B639C4">
      <w:pPr>
        <w:rPr>
          <w:rFonts w:cstheme="minorHAnsi"/>
          <w:b/>
        </w:rPr>
      </w:pPr>
    </w:p>
    <w:p w14:paraId="44642D9B" w14:textId="77777777" w:rsidR="00A36208" w:rsidRPr="002E03FA" w:rsidRDefault="00A36208" w:rsidP="00A36208">
      <w:pPr>
        <w:rPr>
          <w:rFonts w:cstheme="minorHAnsi"/>
          <w:b/>
          <w:bCs/>
          <w:sz w:val="20"/>
          <w:szCs w:val="20"/>
        </w:rPr>
      </w:pPr>
      <w:r w:rsidRPr="002E03FA">
        <w:rPr>
          <w:rFonts w:cstheme="minorHAnsi"/>
          <w:b/>
          <w:bCs/>
          <w:sz w:val="20"/>
          <w:szCs w:val="20"/>
        </w:rPr>
        <w:t xml:space="preserve">Please see full </w:t>
      </w:r>
      <w:hyperlink r:id="rId10" w:history="1">
        <w:r w:rsidRPr="002E03FA">
          <w:rPr>
            <w:rStyle w:val="Hyperlink"/>
            <w:rFonts w:cstheme="minorHAnsi"/>
            <w:b/>
            <w:bCs/>
            <w:sz w:val="20"/>
            <w:szCs w:val="20"/>
          </w:rPr>
          <w:t>Prescribing Information</w:t>
        </w:r>
      </w:hyperlink>
      <w:r w:rsidRPr="002E03FA">
        <w:rPr>
          <w:rFonts w:cstheme="minorHAnsi"/>
          <w:b/>
          <w:bCs/>
          <w:sz w:val="20"/>
          <w:szCs w:val="20"/>
        </w:rPr>
        <w:t>, including BOXED WARNING.</w:t>
      </w:r>
    </w:p>
    <w:p w14:paraId="74C13CE4" w14:textId="77777777" w:rsidR="007C175E" w:rsidRDefault="007C175E" w:rsidP="00B639C4">
      <w:pPr>
        <w:rPr>
          <w:rFonts w:cstheme="minorHAnsi"/>
          <w:b/>
        </w:rPr>
      </w:pPr>
    </w:p>
    <w:p w14:paraId="15267931" w14:textId="77777777" w:rsidR="007C175E" w:rsidRDefault="007C175E" w:rsidP="00B639C4">
      <w:pPr>
        <w:rPr>
          <w:rFonts w:cstheme="minorHAnsi"/>
          <w:b/>
        </w:rPr>
      </w:pPr>
    </w:p>
    <w:p w14:paraId="336362C9" w14:textId="77777777" w:rsidR="007C175E" w:rsidRDefault="007C175E" w:rsidP="00B639C4">
      <w:pPr>
        <w:rPr>
          <w:rFonts w:cstheme="minorHAnsi"/>
          <w:b/>
        </w:rPr>
      </w:pPr>
    </w:p>
    <w:p w14:paraId="31497DED" w14:textId="77777777" w:rsidR="007C175E" w:rsidRDefault="007C175E" w:rsidP="00B639C4">
      <w:pPr>
        <w:rPr>
          <w:rFonts w:cstheme="minorHAnsi"/>
          <w:b/>
        </w:rPr>
      </w:pPr>
    </w:p>
    <w:p w14:paraId="6120C033" w14:textId="77777777" w:rsidR="007C175E" w:rsidRDefault="007C175E" w:rsidP="00B639C4">
      <w:pPr>
        <w:rPr>
          <w:rFonts w:cstheme="minorHAnsi"/>
          <w:b/>
        </w:rPr>
      </w:pPr>
    </w:p>
    <w:p w14:paraId="2C7830AB" w14:textId="77777777" w:rsidR="007C175E" w:rsidRDefault="007C175E" w:rsidP="00B639C4">
      <w:pPr>
        <w:rPr>
          <w:rFonts w:cstheme="minorHAnsi"/>
          <w:b/>
        </w:rPr>
      </w:pPr>
    </w:p>
    <w:p w14:paraId="2034FEFA" w14:textId="77777777" w:rsidR="007C175E" w:rsidRDefault="007C175E" w:rsidP="00B639C4">
      <w:pPr>
        <w:rPr>
          <w:rFonts w:cstheme="minorHAnsi"/>
          <w:b/>
        </w:rPr>
      </w:pPr>
    </w:p>
    <w:p w14:paraId="5D6EFA16" w14:textId="77777777" w:rsidR="007C175E" w:rsidRDefault="007C175E" w:rsidP="00B639C4">
      <w:pPr>
        <w:rPr>
          <w:rFonts w:cstheme="minorHAnsi"/>
          <w:b/>
        </w:rPr>
      </w:pPr>
    </w:p>
    <w:p w14:paraId="26DD70CF" w14:textId="77777777" w:rsidR="007C175E" w:rsidRDefault="007C175E" w:rsidP="00B639C4">
      <w:pPr>
        <w:rPr>
          <w:rFonts w:cstheme="minorHAnsi"/>
          <w:b/>
        </w:rPr>
      </w:pPr>
    </w:p>
    <w:p w14:paraId="00054A4A" w14:textId="77777777" w:rsidR="00737EA9" w:rsidRDefault="00737EA9" w:rsidP="00B639C4">
      <w:pPr>
        <w:rPr>
          <w:rFonts w:cstheme="minorHAnsi"/>
          <w:b/>
        </w:rPr>
      </w:pPr>
    </w:p>
    <w:p w14:paraId="0C7D061E" w14:textId="77777777" w:rsidR="007C175E" w:rsidRDefault="007C175E" w:rsidP="00B639C4">
      <w:pPr>
        <w:rPr>
          <w:rFonts w:cstheme="minorHAnsi"/>
          <w:b/>
        </w:rPr>
      </w:pPr>
    </w:p>
    <w:p w14:paraId="163273F6" w14:textId="77777777" w:rsidR="007C175E" w:rsidRDefault="007C175E" w:rsidP="00B639C4">
      <w:pPr>
        <w:rPr>
          <w:rFonts w:cstheme="minorHAnsi"/>
          <w:b/>
        </w:rPr>
      </w:pPr>
    </w:p>
    <w:p w14:paraId="18B69BAB" w14:textId="330F4871" w:rsidR="001B1ED2" w:rsidRPr="00A6459E" w:rsidRDefault="001B1ED2" w:rsidP="005F23E1">
      <w:pPr>
        <w:autoSpaceDE w:val="0"/>
        <w:autoSpaceDN w:val="0"/>
        <w:adjustRightInd w:val="0"/>
        <w:rPr>
          <w:rFonts w:cstheme="minorHAnsi"/>
          <w:sz w:val="20"/>
          <w:szCs w:val="20"/>
        </w:rPr>
      </w:pPr>
      <w:r w:rsidRPr="00A6459E">
        <w:rPr>
          <w:rFonts w:cstheme="minorHAnsi"/>
          <w:sz w:val="20"/>
          <w:szCs w:val="20"/>
        </w:rPr>
        <w:t>MYFEMBREE® and its logo are registered trademarks of Sumitomo Pharma Co.</w:t>
      </w:r>
      <w:r w:rsidR="003B3A31" w:rsidRPr="00A6459E">
        <w:rPr>
          <w:rFonts w:cstheme="minorHAnsi"/>
          <w:sz w:val="20"/>
          <w:szCs w:val="20"/>
        </w:rPr>
        <w:t>,</w:t>
      </w:r>
      <w:r w:rsidRPr="00A6459E">
        <w:rPr>
          <w:rFonts w:cstheme="minorHAnsi"/>
          <w:sz w:val="20"/>
          <w:szCs w:val="20"/>
        </w:rPr>
        <w:t xml:space="preserve"> Ltd., used under license.</w:t>
      </w:r>
    </w:p>
    <w:p w14:paraId="378AD87F" w14:textId="77777777" w:rsidR="00CB42E5" w:rsidRPr="00A6459E" w:rsidRDefault="001B1ED2" w:rsidP="005F23E1">
      <w:pPr>
        <w:autoSpaceDE w:val="0"/>
        <w:autoSpaceDN w:val="0"/>
        <w:adjustRightInd w:val="0"/>
        <w:rPr>
          <w:rFonts w:cstheme="minorHAnsi"/>
          <w:sz w:val="20"/>
          <w:szCs w:val="20"/>
        </w:rPr>
      </w:pPr>
      <w:r w:rsidRPr="00A6459E">
        <w:rPr>
          <w:rFonts w:cstheme="minorHAnsi"/>
          <w:sz w:val="20"/>
          <w:szCs w:val="20"/>
        </w:rPr>
        <w:t xml:space="preserve">All other trademarks are the property of their respective owners. </w:t>
      </w:r>
    </w:p>
    <w:p w14:paraId="4009F440" w14:textId="52E508AE" w:rsidR="001B1ED2" w:rsidRPr="00A6459E" w:rsidRDefault="00AB2A37" w:rsidP="005F23E1">
      <w:pPr>
        <w:autoSpaceDE w:val="0"/>
        <w:autoSpaceDN w:val="0"/>
        <w:adjustRightInd w:val="0"/>
        <w:rPr>
          <w:rFonts w:cstheme="minorHAnsi"/>
          <w:sz w:val="20"/>
          <w:szCs w:val="20"/>
        </w:rPr>
      </w:pPr>
      <w:r>
        <w:rPr>
          <w:sz w:val="20"/>
          <w:szCs w:val="20"/>
        </w:rPr>
        <w:pict w14:anchorId="56293D62">
          <v:shape id="_x0000_i1026" type="#_x0000_t75" style="width:10.65pt;height:8.9pt;visibility:visible;mso-wrap-style:square">
            <v:imagedata r:id="rId11" o:title=""/>
          </v:shape>
        </w:pict>
      </w:r>
      <w:r w:rsidR="00CB42E5" w:rsidRPr="00A6459E">
        <w:rPr>
          <w:sz w:val="20"/>
          <w:szCs w:val="20"/>
        </w:rPr>
        <w:t xml:space="preserve"> </w:t>
      </w:r>
      <w:r w:rsidR="00677EE1" w:rsidRPr="00A6459E">
        <w:rPr>
          <w:rFonts w:cstheme="minorHAnsi"/>
          <w:sz w:val="20"/>
          <w:szCs w:val="20"/>
        </w:rPr>
        <w:t>is a trademark of Sumitomo Pharma Co., Ltd., used under license.</w:t>
      </w:r>
    </w:p>
    <w:p w14:paraId="0B1571F8" w14:textId="27EF0C46" w:rsidR="005F23E1" w:rsidRPr="00A6459E" w:rsidRDefault="005F23E1" w:rsidP="005F23E1">
      <w:pPr>
        <w:autoSpaceDE w:val="0"/>
        <w:autoSpaceDN w:val="0"/>
        <w:adjustRightInd w:val="0"/>
        <w:rPr>
          <w:rFonts w:cstheme="minorHAnsi"/>
          <w:sz w:val="20"/>
          <w:szCs w:val="20"/>
        </w:rPr>
      </w:pPr>
      <w:r w:rsidRPr="00A6459E">
        <w:rPr>
          <w:rFonts w:cstheme="minorHAnsi"/>
          <w:sz w:val="20"/>
          <w:szCs w:val="20"/>
        </w:rPr>
        <w:t xml:space="preserve">SUMITOMO PHARMA is a trademark of Sumitomo Pharma Co., Ltd., used under license. </w:t>
      </w:r>
    </w:p>
    <w:p w14:paraId="50C1DC8F" w14:textId="77777777" w:rsidR="005F23E1" w:rsidRPr="00A6459E" w:rsidRDefault="005F23E1" w:rsidP="005F23E1">
      <w:pPr>
        <w:autoSpaceDE w:val="0"/>
        <w:autoSpaceDN w:val="0"/>
        <w:adjustRightInd w:val="0"/>
        <w:rPr>
          <w:rFonts w:cstheme="minorHAnsi"/>
          <w:sz w:val="20"/>
          <w:szCs w:val="20"/>
        </w:rPr>
      </w:pPr>
      <w:r w:rsidRPr="00A6459E">
        <w:rPr>
          <w:rFonts w:cstheme="minorHAnsi"/>
          <w:sz w:val="20"/>
          <w:szCs w:val="20"/>
        </w:rPr>
        <w:t xml:space="preserve">SUMITOMO is a registered trademark of Sumitomo Chemical Co., Ltd., used under license. </w:t>
      </w:r>
    </w:p>
    <w:p w14:paraId="3F4535C8" w14:textId="14D6832F" w:rsidR="005F23E1" w:rsidRPr="003A72D0" w:rsidRDefault="005F23E1" w:rsidP="000E093D">
      <w:pPr>
        <w:autoSpaceDE w:val="0"/>
        <w:autoSpaceDN w:val="0"/>
        <w:adjustRightInd w:val="0"/>
        <w:rPr>
          <w:rFonts w:cstheme="minorHAnsi"/>
          <w:sz w:val="20"/>
          <w:szCs w:val="20"/>
        </w:rPr>
      </w:pPr>
      <w:r w:rsidRPr="003A72D0">
        <w:rPr>
          <w:rFonts w:cstheme="minorHAnsi"/>
          <w:sz w:val="20"/>
          <w:szCs w:val="20"/>
        </w:rPr>
        <w:t>Sumitomo Pharma America, Inc. is a U.S. subsidiary of Sumitomo Pharma Co.</w:t>
      </w:r>
      <w:r w:rsidR="003B3A31" w:rsidRPr="003A72D0">
        <w:rPr>
          <w:rFonts w:cstheme="minorHAnsi"/>
          <w:sz w:val="20"/>
          <w:szCs w:val="20"/>
        </w:rPr>
        <w:t>,</w:t>
      </w:r>
      <w:r w:rsidRPr="003A72D0">
        <w:rPr>
          <w:rFonts w:cstheme="minorHAnsi"/>
          <w:sz w:val="20"/>
          <w:szCs w:val="20"/>
        </w:rPr>
        <w:t xml:space="preserve"> Ltd. </w:t>
      </w:r>
    </w:p>
    <w:p w14:paraId="323B5C2B" w14:textId="2A4BB54A" w:rsidR="00737EA9" w:rsidRPr="003A72D0" w:rsidRDefault="005F23E1" w:rsidP="00B639C4">
      <w:pPr>
        <w:rPr>
          <w:rFonts w:cstheme="minorHAnsi"/>
          <w:sz w:val="20"/>
          <w:szCs w:val="20"/>
        </w:rPr>
      </w:pPr>
      <w:r w:rsidRPr="003A72D0">
        <w:rPr>
          <w:rFonts w:cstheme="minorHAnsi"/>
          <w:sz w:val="20"/>
          <w:szCs w:val="20"/>
        </w:rPr>
        <w:t>©202</w:t>
      </w:r>
      <w:r w:rsidR="000E093D" w:rsidRPr="003A72D0">
        <w:rPr>
          <w:rFonts w:cstheme="minorHAnsi"/>
          <w:sz w:val="20"/>
          <w:szCs w:val="20"/>
        </w:rPr>
        <w:t>6</w:t>
      </w:r>
      <w:r w:rsidRPr="003A72D0">
        <w:rPr>
          <w:rFonts w:cstheme="minorHAnsi"/>
          <w:sz w:val="20"/>
          <w:szCs w:val="20"/>
        </w:rPr>
        <w:t xml:space="preserve"> Sumitomo Pharma </w:t>
      </w:r>
      <w:r w:rsidR="000E093D" w:rsidRPr="003A72D0">
        <w:rPr>
          <w:rFonts w:cstheme="minorHAnsi"/>
          <w:sz w:val="20"/>
          <w:szCs w:val="20"/>
        </w:rPr>
        <w:t>America, Inc</w:t>
      </w:r>
      <w:r w:rsidRPr="003A72D0">
        <w:rPr>
          <w:rFonts w:cstheme="minorHAnsi"/>
          <w:sz w:val="20"/>
          <w:szCs w:val="20"/>
        </w:rPr>
        <w:t xml:space="preserve">. </w:t>
      </w:r>
      <w:r w:rsidR="00970155" w:rsidRPr="003A72D0">
        <w:rPr>
          <w:rFonts w:cstheme="minorHAnsi"/>
          <w:sz w:val="20"/>
          <w:szCs w:val="20"/>
        </w:rPr>
        <w:t xml:space="preserve">All rights reserved. </w:t>
      </w:r>
      <w:r w:rsidR="00D364BF" w:rsidRPr="003A72D0">
        <w:rPr>
          <w:rFonts w:cstheme="minorHAnsi"/>
          <w:sz w:val="20"/>
          <w:szCs w:val="20"/>
        </w:rPr>
        <w:t>MYF-US-</w:t>
      </w:r>
      <w:r w:rsidR="0035174A" w:rsidRPr="003A72D0">
        <w:rPr>
          <w:rFonts w:cstheme="minorHAnsi"/>
          <w:sz w:val="20"/>
          <w:szCs w:val="20"/>
        </w:rPr>
        <w:t>00</w:t>
      </w:r>
      <w:r w:rsidR="000E093D" w:rsidRPr="003A72D0">
        <w:rPr>
          <w:rFonts w:cstheme="minorHAnsi"/>
          <w:sz w:val="20"/>
          <w:szCs w:val="20"/>
        </w:rPr>
        <w:t>11</w:t>
      </w:r>
      <w:r w:rsidR="00D364BF" w:rsidRPr="003A72D0">
        <w:rPr>
          <w:rFonts w:cstheme="minorHAnsi"/>
          <w:sz w:val="20"/>
          <w:szCs w:val="20"/>
        </w:rPr>
        <w:t>-2</w:t>
      </w:r>
      <w:r w:rsidR="000E093D" w:rsidRPr="003A72D0">
        <w:rPr>
          <w:rFonts w:cstheme="minorHAnsi"/>
          <w:sz w:val="20"/>
          <w:szCs w:val="20"/>
        </w:rPr>
        <w:t>6</w:t>
      </w:r>
      <w:r w:rsidR="00D364BF" w:rsidRPr="003A72D0">
        <w:rPr>
          <w:rFonts w:cstheme="minorHAnsi"/>
          <w:sz w:val="20"/>
          <w:szCs w:val="20"/>
        </w:rPr>
        <w:t xml:space="preserve"> </w:t>
      </w:r>
      <w:r w:rsidR="00C4784A" w:rsidRPr="003A72D0">
        <w:rPr>
          <w:rFonts w:cstheme="minorHAnsi"/>
          <w:sz w:val="20"/>
          <w:szCs w:val="20"/>
        </w:rPr>
        <w:t>0</w:t>
      </w:r>
      <w:r w:rsidR="0035174A" w:rsidRPr="003A72D0">
        <w:rPr>
          <w:rFonts w:cstheme="minorHAnsi"/>
          <w:sz w:val="20"/>
          <w:szCs w:val="20"/>
        </w:rPr>
        <w:t>2</w:t>
      </w:r>
      <w:r w:rsidR="00970155" w:rsidRPr="003A72D0">
        <w:rPr>
          <w:rFonts w:cstheme="minorHAnsi"/>
          <w:sz w:val="20"/>
          <w:szCs w:val="20"/>
        </w:rPr>
        <w:t>/</w:t>
      </w:r>
      <w:r w:rsidR="0035174A" w:rsidRPr="003A72D0">
        <w:rPr>
          <w:rFonts w:cstheme="minorHAnsi"/>
          <w:sz w:val="20"/>
          <w:szCs w:val="20"/>
        </w:rPr>
        <w:t>2</w:t>
      </w:r>
      <w:r w:rsidR="000E093D" w:rsidRPr="003A72D0">
        <w:rPr>
          <w:rFonts w:cstheme="minorHAnsi"/>
          <w:sz w:val="20"/>
          <w:szCs w:val="20"/>
        </w:rPr>
        <w:t>6</w:t>
      </w:r>
    </w:p>
    <w:p w14:paraId="26B6A8E9" w14:textId="1AC86F3C" w:rsidR="005E0BFE" w:rsidRPr="003A72D0" w:rsidRDefault="005E0BFE" w:rsidP="00B639C4">
      <w:pPr>
        <w:rPr>
          <w:rFonts w:cstheme="minorHAnsi"/>
          <w:sz w:val="20"/>
          <w:szCs w:val="20"/>
        </w:rPr>
      </w:pPr>
      <w:r w:rsidRPr="003A72D0">
        <w:rPr>
          <w:rFonts w:cstheme="minorHAnsi"/>
          <w:sz w:val="20"/>
          <w:szCs w:val="20"/>
        </w:rPr>
        <w:lastRenderedPageBreak/>
        <w:t xml:space="preserve">Date: </w:t>
      </w:r>
    </w:p>
    <w:p w14:paraId="6A0F654E" w14:textId="6ECB14C9" w:rsidR="005E0BFE" w:rsidRPr="003A72D0" w:rsidRDefault="005E0BFE" w:rsidP="00B639C4">
      <w:pPr>
        <w:rPr>
          <w:rFonts w:cstheme="minorHAnsi"/>
          <w:sz w:val="20"/>
          <w:szCs w:val="20"/>
        </w:rPr>
      </w:pPr>
      <w:r w:rsidRPr="003A72D0">
        <w:rPr>
          <w:rFonts w:cstheme="minorHAnsi"/>
          <w:sz w:val="20"/>
          <w:szCs w:val="20"/>
        </w:rPr>
        <w:t xml:space="preserve">Health Plan Name: </w:t>
      </w:r>
    </w:p>
    <w:p w14:paraId="35474D39" w14:textId="7FE94B51" w:rsidR="005E0BFE" w:rsidRPr="003A72D0" w:rsidRDefault="005E0BFE" w:rsidP="00B639C4">
      <w:pPr>
        <w:rPr>
          <w:rFonts w:cstheme="minorHAnsi"/>
          <w:sz w:val="20"/>
          <w:szCs w:val="20"/>
        </w:rPr>
      </w:pPr>
      <w:r w:rsidRPr="003A72D0">
        <w:rPr>
          <w:rFonts w:cstheme="minorHAnsi"/>
          <w:sz w:val="20"/>
          <w:szCs w:val="20"/>
        </w:rPr>
        <w:t xml:space="preserve">Health Plan Contact Name: </w:t>
      </w:r>
    </w:p>
    <w:p w14:paraId="0172FA23" w14:textId="33FB5CA3" w:rsidR="00B639C4" w:rsidRPr="003A72D0" w:rsidRDefault="005E0BFE" w:rsidP="00B639C4">
      <w:pPr>
        <w:rPr>
          <w:rFonts w:cstheme="minorHAnsi"/>
          <w:sz w:val="20"/>
          <w:szCs w:val="20"/>
        </w:rPr>
      </w:pPr>
      <w:r w:rsidRPr="003A72D0">
        <w:rPr>
          <w:rFonts w:cstheme="minorHAnsi"/>
          <w:sz w:val="20"/>
          <w:szCs w:val="20"/>
        </w:rPr>
        <w:t xml:space="preserve">Health Plan Mailing Address: </w:t>
      </w:r>
    </w:p>
    <w:p w14:paraId="6BADFABE" w14:textId="0C7942C3" w:rsidR="005E0BFE" w:rsidRPr="003A72D0" w:rsidRDefault="005E0BFE" w:rsidP="00B639C4">
      <w:pPr>
        <w:rPr>
          <w:rFonts w:cstheme="minorHAnsi"/>
          <w:sz w:val="20"/>
          <w:szCs w:val="20"/>
        </w:rPr>
      </w:pPr>
    </w:p>
    <w:p w14:paraId="228D36FF" w14:textId="4D1D9695" w:rsidR="007F0B72" w:rsidRPr="003A72D0" w:rsidRDefault="005E0BFE" w:rsidP="00B639C4">
      <w:pPr>
        <w:rPr>
          <w:rFonts w:cstheme="minorHAnsi"/>
          <w:sz w:val="20"/>
          <w:szCs w:val="20"/>
        </w:rPr>
      </w:pPr>
      <w:r w:rsidRPr="003A72D0">
        <w:rPr>
          <w:rFonts w:cstheme="minorHAnsi"/>
          <w:sz w:val="20"/>
          <w:szCs w:val="20"/>
        </w:rPr>
        <w:t xml:space="preserve">Patient Name: </w:t>
      </w:r>
    </w:p>
    <w:p w14:paraId="7120F11C" w14:textId="0326A2E8" w:rsidR="005E0BFE" w:rsidRPr="003A72D0" w:rsidRDefault="005E0BFE" w:rsidP="00B639C4">
      <w:pPr>
        <w:rPr>
          <w:rFonts w:cstheme="minorHAnsi"/>
          <w:sz w:val="20"/>
          <w:szCs w:val="20"/>
        </w:rPr>
      </w:pPr>
      <w:r w:rsidRPr="003A72D0">
        <w:rPr>
          <w:rFonts w:cstheme="minorHAnsi"/>
          <w:sz w:val="20"/>
          <w:szCs w:val="20"/>
        </w:rPr>
        <w:t>Subscriber ID</w:t>
      </w:r>
      <w:r w:rsidR="007F0B72" w:rsidRPr="003A72D0">
        <w:rPr>
          <w:rFonts w:cstheme="minorHAnsi"/>
          <w:sz w:val="20"/>
          <w:szCs w:val="20"/>
        </w:rPr>
        <w:t xml:space="preserve"> Number</w:t>
      </w:r>
      <w:r w:rsidRPr="003A72D0">
        <w:rPr>
          <w:rFonts w:cstheme="minorHAnsi"/>
          <w:sz w:val="20"/>
          <w:szCs w:val="20"/>
        </w:rPr>
        <w:t>:</w:t>
      </w:r>
    </w:p>
    <w:p w14:paraId="2302F082" w14:textId="6A9E85FC" w:rsidR="005E0BFE" w:rsidRPr="003A72D0" w:rsidRDefault="008E143C" w:rsidP="00B639C4">
      <w:pPr>
        <w:rPr>
          <w:rFonts w:cstheme="minorHAnsi"/>
          <w:sz w:val="20"/>
          <w:szCs w:val="20"/>
        </w:rPr>
      </w:pPr>
      <w:r w:rsidRPr="003A72D0">
        <w:rPr>
          <w:rFonts w:cstheme="minorHAnsi"/>
          <w:sz w:val="20"/>
          <w:szCs w:val="20"/>
        </w:rPr>
        <w:t>Subscriber Group</w:t>
      </w:r>
      <w:r w:rsidR="007F0B72" w:rsidRPr="003A72D0">
        <w:rPr>
          <w:rFonts w:cstheme="minorHAnsi"/>
          <w:sz w:val="20"/>
          <w:szCs w:val="20"/>
        </w:rPr>
        <w:t xml:space="preserve"> Number:</w:t>
      </w:r>
    </w:p>
    <w:p w14:paraId="5E8708AF" w14:textId="7D65103D" w:rsidR="007F0B72" w:rsidRPr="003A72D0" w:rsidRDefault="007F0B72" w:rsidP="00B639C4">
      <w:pPr>
        <w:rPr>
          <w:rFonts w:cstheme="minorHAnsi"/>
          <w:sz w:val="20"/>
          <w:szCs w:val="20"/>
        </w:rPr>
      </w:pPr>
    </w:p>
    <w:p w14:paraId="292CFF3B" w14:textId="00F0E287" w:rsidR="007F0B72" w:rsidRPr="003A72D0" w:rsidRDefault="007F0B72" w:rsidP="00B639C4">
      <w:pPr>
        <w:rPr>
          <w:rFonts w:cstheme="minorHAnsi"/>
          <w:sz w:val="20"/>
          <w:szCs w:val="20"/>
        </w:rPr>
      </w:pPr>
      <w:r w:rsidRPr="003A72D0">
        <w:rPr>
          <w:rFonts w:cstheme="minorHAnsi"/>
          <w:sz w:val="20"/>
          <w:szCs w:val="20"/>
        </w:rPr>
        <w:t>Prescriber Name:</w:t>
      </w:r>
    </w:p>
    <w:p w14:paraId="3DC9F142" w14:textId="78644247" w:rsidR="007F0B72" w:rsidRPr="003A72D0" w:rsidRDefault="007F0B72" w:rsidP="00B639C4">
      <w:pPr>
        <w:rPr>
          <w:rFonts w:cstheme="minorHAnsi"/>
          <w:sz w:val="20"/>
          <w:szCs w:val="20"/>
        </w:rPr>
      </w:pPr>
      <w:r w:rsidRPr="003A72D0">
        <w:rPr>
          <w:rFonts w:cstheme="minorHAnsi"/>
          <w:sz w:val="20"/>
          <w:szCs w:val="20"/>
        </w:rPr>
        <w:t>Prescriber NPI Number:</w:t>
      </w:r>
    </w:p>
    <w:p w14:paraId="394FA3D7" w14:textId="22A168FE" w:rsidR="003518F2" w:rsidRPr="003A72D0" w:rsidRDefault="003518F2" w:rsidP="00B639C4">
      <w:pPr>
        <w:rPr>
          <w:rFonts w:cstheme="minorHAnsi"/>
          <w:sz w:val="20"/>
          <w:szCs w:val="20"/>
        </w:rPr>
      </w:pPr>
      <w:r w:rsidRPr="003A72D0">
        <w:rPr>
          <w:rFonts w:cstheme="minorHAnsi"/>
          <w:sz w:val="20"/>
          <w:szCs w:val="20"/>
        </w:rPr>
        <w:t>Prescriber Practice Name:</w:t>
      </w:r>
    </w:p>
    <w:p w14:paraId="6A266D42" w14:textId="77777777" w:rsidR="0030527B" w:rsidRDefault="0030527B" w:rsidP="00B639C4">
      <w:pPr>
        <w:rPr>
          <w:rFonts w:cstheme="minorHAnsi"/>
          <w:sz w:val="20"/>
          <w:szCs w:val="20"/>
        </w:rPr>
      </w:pPr>
    </w:p>
    <w:p w14:paraId="1525BC15" w14:textId="401B15F7" w:rsidR="008E143C" w:rsidRPr="002E03FA" w:rsidRDefault="008E143C" w:rsidP="00B639C4">
      <w:pPr>
        <w:rPr>
          <w:rFonts w:cstheme="minorHAnsi"/>
          <w:sz w:val="20"/>
          <w:szCs w:val="20"/>
        </w:rPr>
      </w:pPr>
      <w:r w:rsidRPr="002E03FA">
        <w:rPr>
          <w:rFonts w:cstheme="minorHAnsi"/>
          <w:sz w:val="20"/>
          <w:szCs w:val="20"/>
        </w:rPr>
        <w:t xml:space="preserve">RE: </w:t>
      </w:r>
      <w:r w:rsidR="007F0B72" w:rsidRPr="002E03FA">
        <w:rPr>
          <w:rFonts w:cstheme="minorHAnsi"/>
          <w:sz w:val="20"/>
          <w:szCs w:val="20"/>
        </w:rPr>
        <w:t xml:space="preserve">Medical </w:t>
      </w:r>
      <w:r w:rsidR="008230DA" w:rsidRPr="002E03FA">
        <w:rPr>
          <w:rFonts w:cstheme="minorHAnsi"/>
          <w:color w:val="CC00CC"/>
          <w:sz w:val="20"/>
          <w:szCs w:val="20"/>
        </w:rPr>
        <w:t>[</w:t>
      </w:r>
      <w:r w:rsidR="007F0B72" w:rsidRPr="002E03FA">
        <w:rPr>
          <w:rFonts w:cstheme="minorHAnsi"/>
          <w:color w:val="CC00CC"/>
          <w:sz w:val="20"/>
          <w:szCs w:val="20"/>
        </w:rPr>
        <w:t>Exception</w:t>
      </w:r>
      <w:r w:rsidR="00476ECC" w:rsidRPr="002E03FA">
        <w:rPr>
          <w:rFonts w:cstheme="minorHAnsi"/>
          <w:color w:val="CC00CC"/>
          <w:sz w:val="20"/>
          <w:szCs w:val="20"/>
        </w:rPr>
        <w:t>/Necessity]</w:t>
      </w:r>
      <w:r w:rsidRPr="002E03FA">
        <w:rPr>
          <w:rFonts w:cstheme="minorHAnsi"/>
          <w:color w:val="CC00CC"/>
          <w:sz w:val="20"/>
          <w:szCs w:val="20"/>
        </w:rPr>
        <w:t xml:space="preserve"> </w:t>
      </w:r>
      <w:r w:rsidRPr="002E03FA">
        <w:rPr>
          <w:rFonts w:cstheme="minorHAnsi"/>
          <w:sz w:val="20"/>
          <w:szCs w:val="20"/>
        </w:rPr>
        <w:t>for</w:t>
      </w:r>
      <w:r w:rsidR="007F0B72" w:rsidRPr="002E03FA">
        <w:rPr>
          <w:rFonts w:cstheme="minorHAnsi"/>
          <w:sz w:val="20"/>
          <w:szCs w:val="20"/>
        </w:rPr>
        <w:t xml:space="preserve"> </w:t>
      </w:r>
      <w:r w:rsidR="003750B2" w:rsidRPr="002E03FA">
        <w:rPr>
          <w:rFonts w:cstheme="minorHAnsi"/>
          <w:sz w:val="20"/>
          <w:szCs w:val="20"/>
        </w:rPr>
        <w:t>Myfembree</w:t>
      </w:r>
      <w:r w:rsidR="0004771C" w:rsidRPr="002E03FA">
        <w:rPr>
          <w:rFonts w:cstheme="minorHAnsi"/>
          <w:sz w:val="20"/>
          <w:szCs w:val="20"/>
        </w:rPr>
        <w:t>®</w:t>
      </w:r>
      <w:r w:rsidRPr="002E03FA">
        <w:rPr>
          <w:rFonts w:cstheme="minorHAnsi"/>
          <w:sz w:val="20"/>
          <w:szCs w:val="20"/>
        </w:rPr>
        <w:t xml:space="preserve"> </w:t>
      </w:r>
      <w:r w:rsidR="00491C6A" w:rsidRPr="002E03FA">
        <w:rPr>
          <w:rFonts w:cstheme="minorHAnsi"/>
          <w:sz w:val="20"/>
          <w:szCs w:val="20"/>
        </w:rPr>
        <w:t>(relugolix</w:t>
      </w:r>
      <w:r w:rsidR="0004771C" w:rsidRPr="002E03FA">
        <w:rPr>
          <w:rFonts w:cstheme="minorHAnsi"/>
          <w:sz w:val="20"/>
          <w:szCs w:val="20"/>
        </w:rPr>
        <w:t xml:space="preserve">, </w:t>
      </w:r>
      <w:r w:rsidR="00491C6A" w:rsidRPr="002E03FA">
        <w:rPr>
          <w:rFonts w:cstheme="minorHAnsi"/>
          <w:sz w:val="20"/>
          <w:szCs w:val="20"/>
        </w:rPr>
        <w:t>estradiol</w:t>
      </w:r>
      <w:r w:rsidR="0004771C" w:rsidRPr="002E03FA">
        <w:rPr>
          <w:rFonts w:cstheme="minorHAnsi"/>
          <w:sz w:val="20"/>
          <w:szCs w:val="20"/>
        </w:rPr>
        <w:t xml:space="preserve">, and </w:t>
      </w:r>
      <w:r w:rsidR="00491C6A" w:rsidRPr="002E03FA">
        <w:rPr>
          <w:rFonts w:cstheme="minorHAnsi"/>
          <w:sz w:val="20"/>
          <w:szCs w:val="20"/>
        </w:rPr>
        <w:t>norethindrone acetate)</w:t>
      </w:r>
      <w:r w:rsidR="00263A9E" w:rsidRPr="002E03FA">
        <w:rPr>
          <w:rFonts w:cstheme="minorHAnsi"/>
          <w:sz w:val="20"/>
          <w:szCs w:val="20"/>
        </w:rPr>
        <w:t xml:space="preserve"> </w:t>
      </w:r>
    </w:p>
    <w:p w14:paraId="19BA98A6" w14:textId="267ED85F" w:rsidR="008E143C" w:rsidRPr="002E03FA" w:rsidRDefault="008E143C" w:rsidP="00B639C4">
      <w:pPr>
        <w:rPr>
          <w:rFonts w:cstheme="minorHAnsi"/>
          <w:sz w:val="20"/>
          <w:szCs w:val="20"/>
        </w:rPr>
      </w:pPr>
    </w:p>
    <w:p w14:paraId="44E7BD2F" w14:textId="52631A8C" w:rsidR="008E143C" w:rsidRDefault="00365C96" w:rsidP="00B639C4">
      <w:pPr>
        <w:rPr>
          <w:rFonts w:cstheme="minorHAnsi"/>
          <w:sz w:val="20"/>
          <w:szCs w:val="20"/>
        </w:rPr>
      </w:pPr>
      <w:bookmarkStart w:id="0" w:name="_Hlk61528945"/>
      <w:r w:rsidRPr="002E03FA">
        <w:rPr>
          <w:rFonts w:cstheme="minorHAnsi"/>
          <w:sz w:val="20"/>
          <w:szCs w:val="20"/>
        </w:rPr>
        <w:t xml:space="preserve">To </w:t>
      </w:r>
      <w:r w:rsidR="00185DE9">
        <w:rPr>
          <w:rFonts w:cstheme="minorHAnsi"/>
          <w:sz w:val="20"/>
          <w:szCs w:val="20"/>
        </w:rPr>
        <w:t>W</w:t>
      </w:r>
      <w:r w:rsidR="00185DE9" w:rsidRPr="002E03FA">
        <w:rPr>
          <w:rFonts w:cstheme="minorHAnsi"/>
          <w:sz w:val="20"/>
          <w:szCs w:val="20"/>
        </w:rPr>
        <w:t xml:space="preserve">hom </w:t>
      </w:r>
      <w:r w:rsidR="00185DE9">
        <w:rPr>
          <w:rFonts w:cstheme="minorHAnsi"/>
          <w:sz w:val="20"/>
          <w:szCs w:val="20"/>
        </w:rPr>
        <w:t>I</w:t>
      </w:r>
      <w:r w:rsidR="00185DE9" w:rsidRPr="002E03FA">
        <w:rPr>
          <w:rFonts w:cstheme="minorHAnsi"/>
          <w:sz w:val="20"/>
          <w:szCs w:val="20"/>
        </w:rPr>
        <w:t xml:space="preserve">t </w:t>
      </w:r>
      <w:r w:rsidR="00185DE9">
        <w:rPr>
          <w:rFonts w:cstheme="minorHAnsi"/>
          <w:sz w:val="20"/>
          <w:szCs w:val="20"/>
        </w:rPr>
        <w:t>M</w:t>
      </w:r>
      <w:r w:rsidR="00185DE9" w:rsidRPr="002E03FA">
        <w:rPr>
          <w:rFonts w:cstheme="minorHAnsi"/>
          <w:sz w:val="20"/>
          <w:szCs w:val="20"/>
        </w:rPr>
        <w:t xml:space="preserve">ay </w:t>
      </w:r>
      <w:r w:rsidR="00185DE9">
        <w:rPr>
          <w:rFonts w:cstheme="minorHAnsi"/>
          <w:sz w:val="20"/>
          <w:szCs w:val="20"/>
        </w:rPr>
        <w:t>C</w:t>
      </w:r>
      <w:r w:rsidR="00185DE9" w:rsidRPr="002E03FA">
        <w:rPr>
          <w:rFonts w:cstheme="minorHAnsi"/>
          <w:sz w:val="20"/>
          <w:szCs w:val="20"/>
        </w:rPr>
        <w:t>oncern</w:t>
      </w:r>
      <w:r w:rsidRPr="002E03FA">
        <w:rPr>
          <w:rFonts w:cstheme="minorHAnsi"/>
          <w:sz w:val="20"/>
          <w:szCs w:val="20"/>
        </w:rPr>
        <w:t>:</w:t>
      </w:r>
      <w:bookmarkEnd w:id="0"/>
    </w:p>
    <w:p w14:paraId="2CE7FAC8" w14:textId="77777777" w:rsidR="0030527B" w:rsidRPr="002E03FA" w:rsidRDefault="0030527B" w:rsidP="00B639C4">
      <w:pPr>
        <w:rPr>
          <w:rFonts w:cstheme="minorHAnsi"/>
          <w:sz w:val="20"/>
          <w:szCs w:val="20"/>
        </w:rPr>
      </w:pPr>
    </w:p>
    <w:p w14:paraId="3122D5B6" w14:textId="6BAD9BB9" w:rsidR="00712319" w:rsidRPr="002E03FA" w:rsidRDefault="00491C6A" w:rsidP="00B639C4">
      <w:pPr>
        <w:rPr>
          <w:rFonts w:cstheme="minorHAnsi"/>
          <w:sz w:val="20"/>
          <w:szCs w:val="20"/>
        </w:rPr>
      </w:pPr>
      <w:r w:rsidRPr="002E03FA">
        <w:rPr>
          <w:rFonts w:cstheme="minorHAnsi"/>
          <w:sz w:val="20"/>
          <w:szCs w:val="20"/>
        </w:rPr>
        <w:t>I am the treating physician</w:t>
      </w:r>
      <w:r w:rsidR="009D0190" w:rsidRPr="002E03FA">
        <w:rPr>
          <w:rFonts w:cstheme="minorHAnsi"/>
          <w:sz w:val="20"/>
          <w:szCs w:val="20"/>
        </w:rPr>
        <w:t xml:space="preserve"> for</w:t>
      </w:r>
      <w:r w:rsidRPr="002E03FA">
        <w:rPr>
          <w:rFonts w:cstheme="minorHAnsi"/>
          <w:sz w:val="20"/>
          <w:szCs w:val="20"/>
        </w:rPr>
        <w:t xml:space="preserve"> </w:t>
      </w:r>
      <w:r w:rsidRPr="002E03FA">
        <w:rPr>
          <w:rFonts w:cstheme="minorHAnsi"/>
          <w:color w:val="CC00CC"/>
          <w:sz w:val="20"/>
          <w:szCs w:val="20"/>
        </w:rPr>
        <w:t>[patient first and last name]</w:t>
      </w:r>
      <w:r w:rsidRPr="002E03FA">
        <w:rPr>
          <w:rFonts w:cstheme="minorHAnsi"/>
          <w:sz w:val="20"/>
          <w:szCs w:val="20"/>
        </w:rPr>
        <w:t xml:space="preserve">, who has been diagnosed with </w:t>
      </w:r>
      <w:r w:rsidRPr="002E03FA">
        <w:rPr>
          <w:rFonts w:cstheme="minorHAnsi"/>
          <w:color w:val="CC00CC"/>
          <w:sz w:val="20"/>
          <w:szCs w:val="20"/>
        </w:rPr>
        <w:t>[</w:t>
      </w:r>
      <w:r w:rsidR="0004771C" w:rsidRPr="002E03FA">
        <w:rPr>
          <w:rFonts w:cstheme="minorHAnsi"/>
          <w:color w:val="CC00CC"/>
          <w:sz w:val="20"/>
          <w:szCs w:val="20"/>
        </w:rPr>
        <w:t>condition/disease</w:t>
      </w:r>
      <w:r w:rsidRPr="002E03FA">
        <w:rPr>
          <w:rFonts w:cstheme="minorHAnsi"/>
          <w:color w:val="CC00CC"/>
          <w:sz w:val="20"/>
          <w:szCs w:val="20"/>
        </w:rPr>
        <w:t>]</w:t>
      </w:r>
      <w:r w:rsidRPr="002E03FA">
        <w:rPr>
          <w:rFonts w:cstheme="minorHAnsi"/>
          <w:sz w:val="20"/>
          <w:szCs w:val="20"/>
        </w:rPr>
        <w:t xml:space="preserve">. I am writing to request </w:t>
      </w:r>
      <w:r w:rsidR="0004771C" w:rsidRPr="002E03FA">
        <w:rPr>
          <w:rFonts w:cstheme="minorHAnsi"/>
          <w:color w:val="CC00CC"/>
          <w:sz w:val="20"/>
          <w:szCs w:val="20"/>
        </w:rPr>
        <w:t>[approval/a step therapy override/</w:t>
      </w:r>
      <w:r w:rsidRPr="002E03FA">
        <w:rPr>
          <w:rFonts w:cstheme="minorHAnsi"/>
          <w:color w:val="CC00CC"/>
          <w:sz w:val="20"/>
          <w:szCs w:val="20"/>
        </w:rPr>
        <w:t>a medical exception</w:t>
      </w:r>
      <w:r w:rsidR="0004771C" w:rsidRPr="002E03FA">
        <w:rPr>
          <w:rFonts w:cstheme="minorHAnsi"/>
          <w:color w:val="CC00CC"/>
          <w:sz w:val="20"/>
          <w:szCs w:val="20"/>
        </w:rPr>
        <w:t>]</w:t>
      </w:r>
      <w:r w:rsidRPr="002E03FA">
        <w:rPr>
          <w:rFonts w:cstheme="minorHAnsi"/>
          <w:sz w:val="20"/>
          <w:szCs w:val="20"/>
        </w:rPr>
        <w:t xml:space="preserve"> for </w:t>
      </w:r>
      <w:r w:rsidR="003750B2" w:rsidRPr="002E03FA">
        <w:rPr>
          <w:rFonts w:cstheme="minorHAnsi"/>
          <w:sz w:val="20"/>
          <w:szCs w:val="20"/>
        </w:rPr>
        <w:t>Myfembree</w:t>
      </w:r>
      <w:r w:rsidR="00CD54A9" w:rsidRPr="002E03FA">
        <w:rPr>
          <w:rFonts w:cstheme="minorHAnsi"/>
          <w:sz w:val="20"/>
          <w:szCs w:val="20"/>
        </w:rPr>
        <w:t>®</w:t>
      </w:r>
      <w:r w:rsidRPr="002E03FA">
        <w:rPr>
          <w:rFonts w:cstheme="minorHAnsi"/>
          <w:sz w:val="20"/>
          <w:szCs w:val="20"/>
        </w:rPr>
        <w:t xml:space="preserve"> (relugolix</w:t>
      </w:r>
      <w:r w:rsidR="003750B2" w:rsidRPr="002E03FA">
        <w:rPr>
          <w:rFonts w:cstheme="minorHAnsi"/>
          <w:sz w:val="20"/>
          <w:szCs w:val="20"/>
        </w:rPr>
        <w:t xml:space="preserve">, </w:t>
      </w:r>
      <w:r w:rsidRPr="002E03FA">
        <w:rPr>
          <w:rFonts w:cstheme="minorHAnsi"/>
          <w:sz w:val="20"/>
          <w:szCs w:val="20"/>
        </w:rPr>
        <w:t>estradiol</w:t>
      </w:r>
      <w:r w:rsidR="003750B2" w:rsidRPr="002E03FA">
        <w:rPr>
          <w:rFonts w:cstheme="minorHAnsi"/>
          <w:sz w:val="20"/>
          <w:szCs w:val="20"/>
        </w:rPr>
        <w:t xml:space="preserve">, and </w:t>
      </w:r>
      <w:r w:rsidRPr="002E03FA">
        <w:rPr>
          <w:rFonts w:cstheme="minorHAnsi"/>
          <w:sz w:val="20"/>
          <w:szCs w:val="20"/>
        </w:rPr>
        <w:t>norethindrone acetate)</w:t>
      </w:r>
      <w:r w:rsidR="003518F2" w:rsidRPr="002E03FA">
        <w:rPr>
          <w:rFonts w:cstheme="minorHAnsi"/>
          <w:sz w:val="20"/>
          <w:szCs w:val="20"/>
        </w:rPr>
        <w:t xml:space="preserve">, which </w:t>
      </w:r>
      <w:r w:rsidR="003518F2" w:rsidRPr="002E03FA">
        <w:rPr>
          <w:rFonts w:cstheme="minorHAnsi"/>
          <w:color w:val="CC00CC"/>
          <w:sz w:val="20"/>
          <w:szCs w:val="20"/>
        </w:rPr>
        <w:t>[</w:t>
      </w:r>
      <w:r w:rsidR="00970155" w:rsidRPr="002E03FA">
        <w:rPr>
          <w:rFonts w:cstheme="minorHAnsi"/>
          <w:color w:val="CC00CC"/>
          <w:sz w:val="20"/>
          <w:szCs w:val="20"/>
        </w:rPr>
        <w:t xml:space="preserve">has a prior authorization/requires step therapy/is </w:t>
      </w:r>
      <w:r w:rsidR="003518F2" w:rsidRPr="002E03FA">
        <w:rPr>
          <w:rFonts w:cstheme="minorHAnsi"/>
          <w:color w:val="CC00CC"/>
          <w:sz w:val="20"/>
          <w:szCs w:val="20"/>
        </w:rPr>
        <w:t>not covered/</w:t>
      </w:r>
      <w:r w:rsidR="00970155" w:rsidRPr="002E03FA">
        <w:rPr>
          <w:rFonts w:cstheme="minorHAnsi"/>
          <w:color w:val="CC00CC"/>
          <w:sz w:val="20"/>
          <w:szCs w:val="20"/>
        </w:rPr>
        <w:t xml:space="preserve">is </w:t>
      </w:r>
      <w:r w:rsidR="003518F2" w:rsidRPr="002E03FA">
        <w:rPr>
          <w:rFonts w:cstheme="minorHAnsi"/>
          <w:color w:val="CC00CC"/>
          <w:sz w:val="20"/>
          <w:szCs w:val="20"/>
        </w:rPr>
        <w:t>not on formulary]</w:t>
      </w:r>
      <w:r w:rsidR="003518F2" w:rsidRPr="002E03FA">
        <w:rPr>
          <w:rFonts w:cstheme="minorHAnsi"/>
          <w:sz w:val="20"/>
          <w:szCs w:val="20"/>
        </w:rPr>
        <w:t xml:space="preserve">, </w:t>
      </w:r>
      <w:r w:rsidRPr="002E03FA">
        <w:rPr>
          <w:rFonts w:cstheme="minorHAnsi"/>
          <w:sz w:val="20"/>
          <w:szCs w:val="20"/>
        </w:rPr>
        <w:t>as the prescribed option for my patient’s condition. Based on my practice experience</w:t>
      </w:r>
      <w:r w:rsidR="00712319" w:rsidRPr="002E03FA">
        <w:rPr>
          <w:rFonts w:cstheme="minorHAnsi"/>
          <w:sz w:val="20"/>
          <w:szCs w:val="20"/>
        </w:rPr>
        <w:t xml:space="preserve"> </w:t>
      </w:r>
      <w:r w:rsidRPr="002E03FA">
        <w:rPr>
          <w:rFonts w:cstheme="minorHAnsi"/>
          <w:sz w:val="20"/>
          <w:szCs w:val="20"/>
        </w:rPr>
        <w:t xml:space="preserve">and the clinical profile of </w:t>
      </w:r>
      <w:r w:rsidR="003750B2" w:rsidRPr="002E03FA">
        <w:rPr>
          <w:rFonts w:cstheme="minorHAnsi"/>
          <w:sz w:val="20"/>
          <w:szCs w:val="20"/>
        </w:rPr>
        <w:t>Myfembree</w:t>
      </w:r>
      <w:r w:rsidR="00712319" w:rsidRPr="002E03FA">
        <w:rPr>
          <w:rFonts w:cstheme="minorHAnsi"/>
          <w:sz w:val="20"/>
          <w:szCs w:val="20"/>
        </w:rPr>
        <w:t>, I believe it is</w:t>
      </w:r>
      <w:r w:rsidR="0004771C" w:rsidRPr="002E03FA">
        <w:rPr>
          <w:rFonts w:cstheme="minorHAnsi"/>
          <w:sz w:val="20"/>
          <w:szCs w:val="20"/>
        </w:rPr>
        <w:t xml:space="preserve"> medically necessary</w:t>
      </w:r>
      <w:r w:rsidR="006326AD" w:rsidRPr="002E03FA">
        <w:rPr>
          <w:rFonts w:cstheme="minorHAnsi"/>
          <w:sz w:val="20"/>
          <w:szCs w:val="20"/>
        </w:rPr>
        <w:t xml:space="preserve"> for my patient</w:t>
      </w:r>
      <w:r w:rsidR="00712319" w:rsidRPr="002E03FA">
        <w:rPr>
          <w:rFonts w:cstheme="minorHAnsi"/>
          <w:sz w:val="20"/>
          <w:szCs w:val="20"/>
        </w:rPr>
        <w:t xml:space="preserve"> </w:t>
      </w:r>
      <w:r w:rsidR="004276EA" w:rsidRPr="002E03FA">
        <w:rPr>
          <w:rFonts w:cstheme="minorHAnsi"/>
          <w:sz w:val="20"/>
          <w:szCs w:val="20"/>
        </w:rPr>
        <w:t>w</w:t>
      </w:r>
      <w:r w:rsidR="009D0190" w:rsidRPr="002E03FA">
        <w:rPr>
          <w:rFonts w:cstheme="minorHAnsi"/>
          <w:sz w:val="20"/>
          <w:szCs w:val="20"/>
        </w:rPr>
        <w:t>hen considering</w:t>
      </w:r>
      <w:r w:rsidR="006326AD" w:rsidRPr="002E03FA">
        <w:rPr>
          <w:rFonts w:cstheme="minorHAnsi"/>
          <w:sz w:val="20"/>
          <w:szCs w:val="20"/>
        </w:rPr>
        <w:t xml:space="preserve"> </w:t>
      </w:r>
      <w:r w:rsidR="00476ECC" w:rsidRPr="002E03FA">
        <w:rPr>
          <w:rFonts w:cstheme="minorHAnsi"/>
          <w:sz w:val="20"/>
          <w:szCs w:val="20"/>
        </w:rPr>
        <w:t>their</w:t>
      </w:r>
      <w:r w:rsidR="00232E65" w:rsidRPr="002E03FA">
        <w:rPr>
          <w:rFonts w:cstheme="minorHAnsi"/>
          <w:sz w:val="20"/>
          <w:szCs w:val="20"/>
        </w:rPr>
        <w:t xml:space="preserve"> </w:t>
      </w:r>
      <w:r w:rsidR="00712319" w:rsidRPr="002E03FA">
        <w:rPr>
          <w:rFonts w:cstheme="minorHAnsi"/>
          <w:sz w:val="20"/>
          <w:szCs w:val="20"/>
        </w:rPr>
        <w:t>clinical history:</w:t>
      </w:r>
    </w:p>
    <w:p w14:paraId="6D43C03B" w14:textId="16A6203B" w:rsidR="00491C6A" w:rsidRPr="002E03FA" w:rsidRDefault="00712319" w:rsidP="00712319">
      <w:pPr>
        <w:pStyle w:val="ListParagraph"/>
        <w:numPr>
          <w:ilvl w:val="0"/>
          <w:numId w:val="13"/>
        </w:numPr>
        <w:rPr>
          <w:rFonts w:cstheme="minorHAnsi"/>
          <w:color w:val="CC00CC"/>
          <w:sz w:val="20"/>
          <w:szCs w:val="20"/>
        </w:rPr>
      </w:pPr>
      <w:r w:rsidRPr="002E03FA">
        <w:rPr>
          <w:rFonts w:cstheme="minorHAnsi"/>
          <w:color w:val="CC00CC"/>
          <w:sz w:val="20"/>
          <w:szCs w:val="20"/>
        </w:rPr>
        <w:t>[duration of time patient has been overseen and treated]</w:t>
      </w:r>
    </w:p>
    <w:p w14:paraId="7E2F4162" w14:textId="700BEAA5" w:rsidR="00712319" w:rsidRPr="002E03FA" w:rsidRDefault="00712319" w:rsidP="00712319">
      <w:pPr>
        <w:pStyle w:val="ListParagraph"/>
        <w:numPr>
          <w:ilvl w:val="0"/>
          <w:numId w:val="13"/>
        </w:numPr>
        <w:rPr>
          <w:rFonts w:cstheme="minorHAnsi"/>
          <w:color w:val="CC00CC"/>
          <w:sz w:val="20"/>
          <w:szCs w:val="20"/>
        </w:rPr>
      </w:pPr>
      <w:r w:rsidRPr="002E03FA">
        <w:rPr>
          <w:rFonts w:cstheme="minorHAnsi"/>
          <w:color w:val="CC00CC"/>
          <w:sz w:val="20"/>
          <w:szCs w:val="20"/>
        </w:rPr>
        <w:t>[relevant diagnostic</w:t>
      </w:r>
      <w:r w:rsidR="00232E65" w:rsidRPr="002E03FA">
        <w:rPr>
          <w:rFonts w:cstheme="minorHAnsi"/>
          <w:color w:val="CC00CC"/>
          <w:sz w:val="20"/>
          <w:szCs w:val="20"/>
        </w:rPr>
        <w:t>/symptom</w:t>
      </w:r>
      <w:r w:rsidRPr="002E03FA">
        <w:rPr>
          <w:rFonts w:cstheme="minorHAnsi"/>
          <w:color w:val="CC00CC"/>
          <w:sz w:val="20"/>
          <w:szCs w:val="20"/>
        </w:rPr>
        <w:t xml:space="preserve"> information]</w:t>
      </w:r>
    </w:p>
    <w:p w14:paraId="5799B251" w14:textId="2AB4B961" w:rsidR="00232E65" w:rsidRPr="002E03FA" w:rsidRDefault="00232E65" w:rsidP="00712319">
      <w:pPr>
        <w:pStyle w:val="ListParagraph"/>
        <w:numPr>
          <w:ilvl w:val="0"/>
          <w:numId w:val="13"/>
        </w:numPr>
        <w:rPr>
          <w:rFonts w:cstheme="minorHAnsi"/>
          <w:color w:val="CC00CC"/>
          <w:sz w:val="20"/>
          <w:szCs w:val="20"/>
        </w:rPr>
      </w:pPr>
      <w:r w:rsidRPr="002E03FA">
        <w:rPr>
          <w:rFonts w:cstheme="minorHAnsi"/>
          <w:color w:val="CC00CC"/>
          <w:sz w:val="20"/>
          <w:szCs w:val="20"/>
        </w:rPr>
        <w:t>[use of previous treatment</w:t>
      </w:r>
      <w:r w:rsidR="006F39D3" w:rsidRPr="002E03FA">
        <w:rPr>
          <w:rFonts w:cstheme="minorHAnsi"/>
          <w:color w:val="CC00CC"/>
          <w:sz w:val="20"/>
          <w:szCs w:val="20"/>
        </w:rPr>
        <w:t>(s)</w:t>
      </w:r>
      <w:r w:rsidRPr="002E03FA">
        <w:rPr>
          <w:rFonts w:cstheme="minorHAnsi"/>
          <w:color w:val="CC00CC"/>
          <w:sz w:val="20"/>
          <w:szCs w:val="20"/>
        </w:rPr>
        <w:t xml:space="preserve"> without desired clinical impact]</w:t>
      </w:r>
    </w:p>
    <w:p w14:paraId="72388FFB" w14:textId="7E3BF12E" w:rsidR="00476ECC" w:rsidRPr="002E03FA" w:rsidRDefault="00476ECC" w:rsidP="00712319">
      <w:pPr>
        <w:pStyle w:val="ListParagraph"/>
        <w:numPr>
          <w:ilvl w:val="0"/>
          <w:numId w:val="13"/>
        </w:numPr>
        <w:rPr>
          <w:rFonts w:cstheme="minorHAnsi"/>
          <w:color w:val="CC00CC"/>
          <w:sz w:val="20"/>
          <w:szCs w:val="20"/>
        </w:rPr>
      </w:pPr>
      <w:r w:rsidRPr="002E03FA">
        <w:rPr>
          <w:rFonts w:cstheme="minorHAnsi"/>
          <w:color w:val="CC00CC"/>
          <w:sz w:val="20"/>
          <w:szCs w:val="20"/>
        </w:rPr>
        <w:t>[other information deemed necessary by the prescriber]</w:t>
      </w:r>
    </w:p>
    <w:p w14:paraId="0A001EBE" w14:textId="20CD47FE" w:rsidR="00712319" w:rsidRPr="002E03FA" w:rsidRDefault="00712319" w:rsidP="00712319">
      <w:pPr>
        <w:rPr>
          <w:rFonts w:cstheme="minorHAnsi"/>
          <w:sz w:val="20"/>
          <w:szCs w:val="20"/>
        </w:rPr>
      </w:pPr>
    </w:p>
    <w:p w14:paraId="7E4F9A23" w14:textId="3CC99299" w:rsidR="00232E65" w:rsidRPr="002E03FA" w:rsidRDefault="00232E65" w:rsidP="00712319">
      <w:pPr>
        <w:rPr>
          <w:rFonts w:cstheme="minorHAnsi"/>
          <w:sz w:val="20"/>
          <w:szCs w:val="20"/>
        </w:rPr>
      </w:pPr>
      <w:r w:rsidRPr="002E03FA">
        <w:rPr>
          <w:rFonts w:cstheme="minorHAnsi"/>
          <w:sz w:val="20"/>
          <w:szCs w:val="20"/>
        </w:rPr>
        <w:t>In addition, please find the following supporting information submitted along with this request:</w:t>
      </w:r>
    </w:p>
    <w:p w14:paraId="3831D828" w14:textId="4ABE8966" w:rsidR="00232E65" w:rsidRPr="002E03FA" w:rsidRDefault="00232E65" w:rsidP="00232E65">
      <w:pPr>
        <w:pStyle w:val="ListParagraph"/>
        <w:numPr>
          <w:ilvl w:val="0"/>
          <w:numId w:val="13"/>
        </w:numPr>
        <w:rPr>
          <w:rFonts w:cstheme="minorHAnsi"/>
          <w:color w:val="CC00CC"/>
          <w:sz w:val="20"/>
          <w:szCs w:val="20"/>
        </w:rPr>
      </w:pPr>
      <w:r w:rsidRPr="002E03FA">
        <w:rPr>
          <w:rFonts w:cstheme="minorHAnsi"/>
          <w:color w:val="CC00CC"/>
          <w:sz w:val="20"/>
          <w:szCs w:val="20"/>
        </w:rPr>
        <w:t>[relevant laboratory tests (blood tests, scans)</w:t>
      </w:r>
      <w:r w:rsidR="004276EA" w:rsidRPr="002E03FA">
        <w:rPr>
          <w:rFonts w:cstheme="minorHAnsi"/>
          <w:color w:val="CC00CC"/>
          <w:sz w:val="20"/>
          <w:szCs w:val="20"/>
        </w:rPr>
        <w:t>]</w:t>
      </w:r>
    </w:p>
    <w:p w14:paraId="6B3E523E" w14:textId="479B2B09" w:rsidR="00232E65" w:rsidRPr="002E03FA" w:rsidRDefault="00232E65" w:rsidP="00232E65">
      <w:pPr>
        <w:pStyle w:val="ListParagraph"/>
        <w:numPr>
          <w:ilvl w:val="0"/>
          <w:numId w:val="13"/>
        </w:numPr>
        <w:rPr>
          <w:rFonts w:cstheme="minorHAnsi"/>
          <w:color w:val="CC00CC"/>
          <w:sz w:val="20"/>
          <w:szCs w:val="20"/>
        </w:rPr>
      </w:pPr>
      <w:r w:rsidRPr="002E03FA">
        <w:rPr>
          <w:rFonts w:cstheme="minorHAnsi"/>
          <w:color w:val="CC00CC"/>
          <w:sz w:val="20"/>
          <w:szCs w:val="20"/>
        </w:rPr>
        <w:t>[</w:t>
      </w:r>
      <w:r w:rsidR="003750B2" w:rsidRPr="002E03FA">
        <w:rPr>
          <w:rFonts w:cstheme="minorHAnsi"/>
          <w:color w:val="CC00CC"/>
          <w:sz w:val="20"/>
          <w:szCs w:val="20"/>
        </w:rPr>
        <w:t xml:space="preserve">Myfembree </w:t>
      </w:r>
      <w:r w:rsidRPr="002E03FA">
        <w:rPr>
          <w:rFonts w:cstheme="minorHAnsi"/>
          <w:color w:val="CC00CC"/>
          <w:sz w:val="20"/>
          <w:szCs w:val="20"/>
        </w:rPr>
        <w:t>package insert]</w:t>
      </w:r>
    </w:p>
    <w:p w14:paraId="26CEC705" w14:textId="5CA05DFB" w:rsidR="008230DA" w:rsidRPr="002E03FA" w:rsidRDefault="008230DA" w:rsidP="008230DA">
      <w:pPr>
        <w:pStyle w:val="ListParagraph"/>
        <w:numPr>
          <w:ilvl w:val="0"/>
          <w:numId w:val="13"/>
        </w:numPr>
        <w:rPr>
          <w:rFonts w:cstheme="minorHAnsi"/>
          <w:color w:val="CC00CC"/>
          <w:sz w:val="20"/>
          <w:szCs w:val="20"/>
        </w:rPr>
      </w:pPr>
      <w:r w:rsidRPr="002E03FA">
        <w:rPr>
          <w:rFonts w:cstheme="minorHAnsi"/>
          <w:color w:val="CC00CC"/>
          <w:sz w:val="20"/>
          <w:szCs w:val="20"/>
        </w:rPr>
        <w:t>[other information deemed necessary by the prescriber]</w:t>
      </w:r>
    </w:p>
    <w:p w14:paraId="1C09BD45" w14:textId="77777777" w:rsidR="00232E65" w:rsidRPr="002E03FA" w:rsidRDefault="00232E65" w:rsidP="00712319">
      <w:pPr>
        <w:rPr>
          <w:rFonts w:cstheme="minorHAnsi"/>
          <w:sz w:val="20"/>
          <w:szCs w:val="20"/>
        </w:rPr>
      </w:pPr>
    </w:p>
    <w:p w14:paraId="2D4EDF66" w14:textId="636A522A" w:rsidR="00712319" w:rsidRPr="002E03FA" w:rsidRDefault="00232E65" w:rsidP="00712319">
      <w:pPr>
        <w:rPr>
          <w:rFonts w:cstheme="minorHAnsi"/>
          <w:sz w:val="20"/>
          <w:szCs w:val="20"/>
        </w:rPr>
      </w:pPr>
      <w:r w:rsidRPr="002E03FA">
        <w:rPr>
          <w:rFonts w:cstheme="minorHAnsi"/>
          <w:sz w:val="20"/>
          <w:szCs w:val="20"/>
        </w:rPr>
        <w:t>I appreciate your time in reviewing my patient’s case</w:t>
      </w:r>
      <w:r w:rsidR="003518F2" w:rsidRPr="002E03FA">
        <w:rPr>
          <w:rFonts w:cstheme="minorHAnsi"/>
          <w:sz w:val="20"/>
          <w:szCs w:val="20"/>
        </w:rPr>
        <w:t xml:space="preserve"> and </w:t>
      </w:r>
      <w:r w:rsidR="00C4784A">
        <w:rPr>
          <w:rFonts w:cstheme="minorHAnsi"/>
          <w:sz w:val="20"/>
          <w:szCs w:val="20"/>
        </w:rPr>
        <w:t xml:space="preserve">the </w:t>
      </w:r>
      <w:r w:rsidR="003518F2" w:rsidRPr="002E03FA">
        <w:rPr>
          <w:rFonts w:cstheme="minorHAnsi"/>
          <w:sz w:val="20"/>
          <w:szCs w:val="20"/>
        </w:rPr>
        <w:t xml:space="preserve">requested treatment option. If there are any questions, my office can be reached by phone at </w:t>
      </w:r>
      <w:r w:rsidR="003518F2" w:rsidRPr="002E03FA">
        <w:rPr>
          <w:rFonts w:cstheme="minorHAnsi"/>
          <w:color w:val="CC00CC"/>
          <w:sz w:val="20"/>
          <w:szCs w:val="20"/>
        </w:rPr>
        <w:t xml:space="preserve">[1-XXX-XXX-XXXX] </w:t>
      </w:r>
      <w:r w:rsidR="003518F2" w:rsidRPr="002E03FA">
        <w:rPr>
          <w:rFonts w:cstheme="minorHAnsi"/>
          <w:sz w:val="20"/>
          <w:szCs w:val="20"/>
        </w:rPr>
        <w:t xml:space="preserve">or fax at </w:t>
      </w:r>
      <w:r w:rsidR="003518F2" w:rsidRPr="002E03FA">
        <w:rPr>
          <w:rFonts w:cstheme="minorHAnsi"/>
          <w:color w:val="CC00CC"/>
          <w:sz w:val="20"/>
          <w:szCs w:val="20"/>
        </w:rPr>
        <w:t>[1-XXX-XXX-XXXX]</w:t>
      </w:r>
      <w:r w:rsidR="003518F2" w:rsidRPr="002E03FA">
        <w:rPr>
          <w:rFonts w:cstheme="minorHAnsi"/>
          <w:sz w:val="20"/>
          <w:szCs w:val="20"/>
        </w:rPr>
        <w:t>.</w:t>
      </w:r>
    </w:p>
    <w:p w14:paraId="14E0AA46" w14:textId="77777777" w:rsidR="00FE7CE8" w:rsidRPr="002E03FA" w:rsidRDefault="00FE7CE8" w:rsidP="00712319">
      <w:pPr>
        <w:rPr>
          <w:rFonts w:cstheme="minorHAnsi"/>
          <w:sz w:val="20"/>
          <w:szCs w:val="20"/>
        </w:rPr>
      </w:pPr>
    </w:p>
    <w:p w14:paraId="01BFD5B8" w14:textId="3E57206F" w:rsidR="00E103DB" w:rsidRPr="002E03FA" w:rsidRDefault="003518F2" w:rsidP="00712319">
      <w:pPr>
        <w:rPr>
          <w:rFonts w:cstheme="minorHAnsi"/>
          <w:sz w:val="20"/>
          <w:szCs w:val="20"/>
        </w:rPr>
      </w:pPr>
      <w:r w:rsidRPr="002E03FA">
        <w:rPr>
          <w:rFonts w:cstheme="minorHAnsi"/>
          <w:sz w:val="20"/>
          <w:szCs w:val="20"/>
        </w:rPr>
        <w:t>Sincerely,</w:t>
      </w:r>
    </w:p>
    <w:p w14:paraId="1DC9ACBA" w14:textId="5A457ECC" w:rsidR="003518F2" w:rsidRPr="002E03FA" w:rsidRDefault="003518F2" w:rsidP="00712319">
      <w:pPr>
        <w:rPr>
          <w:rFonts w:cstheme="minorHAnsi"/>
          <w:color w:val="CC00CC"/>
          <w:sz w:val="20"/>
          <w:szCs w:val="20"/>
        </w:rPr>
      </w:pPr>
      <w:r w:rsidRPr="002E03FA">
        <w:rPr>
          <w:rFonts w:cstheme="minorHAnsi"/>
          <w:color w:val="CC00CC"/>
          <w:sz w:val="20"/>
          <w:szCs w:val="20"/>
        </w:rPr>
        <w:t>[prescriber name, title]</w:t>
      </w:r>
    </w:p>
    <w:p w14:paraId="3DF0458C" w14:textId="3DE39911" w:rsidR="00491C6A" w:rsidRPr="002E03FA" w:rsidRDefault="003518F2" w:rsidP="00B639C4">
      <w:pPr>
        <w:rPr>
          <w:rFonts w:cstheme="minorHAnsi"/>
          <w:color w:val="CC00CC"/>
          <w:sz w:val="20"/>
          <w:szCs w:val="20"/>
        </w:rPr>
      </w:pPr>
      <w:r w:rsidRPr="002E03FA">
        <w:rPr>
          <w:rFonts w:cstheme="minorHAnsi"/>
          <w:color w:val="CC00CC"/>
          <w:sz w:val="20"/>
          <w:szCs w:val="20"/>
        </w:rPr>
        <w:t>[medical specialty]</w:t>
      </w:r>
    </w:p>
    <w:p w14:paraId="6F28FF47" w14:textId="0EAA4CA8" w:rsidR="0004771C" w:rsidRPr="002E03FA" w:rsidRDefault="00FE7CE8" w:rsidP="00322C01">
      <w:pPr>
        <w:rPr>
          <w:rFonts w:cstheme="minorHAnsi"/>
          <w:color w:val="CC00CC"/>
          <w:sz w:val="20"/>
          <w:szCs w:val="20"/>
        </w:rPr>
      </w:pPr>
      <w:r w:rsidRPr="002E03FA">
        <w:rPr>
          <w:rFonts w:cstheme="minorHAnsi"/>
          <w:color w:val="CC00CC"/>
          <w:sz w:val="20"/>
          <w:szCs w:val="20"/>
        </w:rPr>
        <w:t>[signature]</w:t>
      </w:r>
    </w:p>
    <w:p w14:paraId="36E52A6A" w14:textId="77777777" w:rsidR="002E03FA" w:rsidRDefault="002E03FA" w:rsidP="00322C01">
      <w:pPr>
        <w:rPr>
          <w:rFonts w:cstheme="minorHAnsi"/>
          <w:sz w:val="18"/>
          <w:szCs w:val="18"/>
        </w:rPr>
      </w:pPr>
    </w:p>
    <w:p w14:paraId="33EF4755" w14:textId="5EF34D31" w:rsidR="002E03FA" w:rsidRPr="003A72D0" w:rsidRDefault="002E03FA" w:rsidP="00322C01">
      <w:pPr>
        <w:rPr>
          <w:rFonts w:cstheme="minorHAnsi"/>
          <w:sz w:val="20"/>
          <w:szCs w:val="20"/>
        </w:rPr>
      </w:pPr>
      <w:r w:rsidRPr="003A72D0">
        <w:rPr>
          <w:rFonts w:cstheme="minorHAnsi"/>
          <w:b/>
          <w:bCs/>
          <w:sz w:val="20"/>
          <w:szCs w:val="20"/>
        </w:rPr>
        <w:t>Confidentiality Notice:</w:t>
      </w:r>
      <w:r w:rsidRPr="003A72D0">
        <w:rPr>
          <w:rFonts w:cstheme="minorHAnsi"/>
          <w:sz w:val="20"/>
          <w:szCs w:val="20"/>
        </w:rPr>
        <w:t xml:space="preserve"> This letter contains personally identifiable information and may include individual protected health information (PHI). The information is intended only for use by the individual or entity addressed on this letter. If you are not the intended recipient, you are hereby notified that any disclosure, copying, distribution, or the taking of action in reliance on the contents of this letter is strictly prohibited. If you have received this letter in error, please notify the sender immediately so that we can arrange for the return of the original documents to us at no cost to you.</w:t>
      </w:r>
    </w:p>
    <w:sectPr w:rsidR="002E03FA" w:rsidRPr="003A72D0" w:rsidSect="004D082E">
      <w:footerReference w:type="even" r:id="rId12"/>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0785B" w14:textId="77777777" w:rsidR="00254FDC" w:rsidRDefault="00254FDC" w:rsidP="004809F5">
      <w:r>
        <w:separator/>
      </w:r>
    </w:p>
  </w:endnote>
  <w:endnote w:type="continuationSeparator" w:id="0">
    <w:p w14:paraId="043583DD" w14:textId="77777777" w:rsidR="00254FDC" w:rsidRDefault="00254FDC" w:rsidP="0048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1CA5" w14:textId="3323B3D0" w:rsidR="00FE7CE8" w:rsidRDefault="00FE7CE8" w:rsidP="00FE7CE8">
    <w:pPr>
      <w:pStyle w:val="Footer"/>
    </w:pPr>
  </w:p>
  <w:p w14:paraId="22393976" w14:textId="12580D0A" w:rsidR="00FE7CE8" w:rsidRDefault="00FE7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1614" w14:textId="2BDA7C45" w:rsidR="00FE7CE8" w:rsidRPr="00180B65" w:rsidRDefault="00FE7CE8" w:rsidP="00180B65">
    <w:pPr>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31BD" w14:textId="77777777" w:rsidR="00254FDC" w:rsidRDefault="00254FDC" w:rsidP="004809F5">
      <w:r>
        <w:separator/>
      </w:r>
    </w:p>
  </w:footnote>
  <w:footnote w:type="continuationSeparator" w:id="0">
    <w:p w14:paraId="5E8EA3E6" w14:textId="77777777" w:rsidR="00254FDC" w:rsidRDefault="00254FDC" w:rsidP="00480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5pt;height:14.2pt;visibility:visible;mso-wrap-style:square" o:bullet="t">
        <v:imagedata r:id="rId1" o:title=""/>
      </v:shape>
    </w:pict>
  </w:numPicBullet>
  <w:abstractNum w:abstractNumId="0" w15:restartNumberingAfterBreak="0">
    <w:nsid w:val="119E0EDB"/>
    <w:multiLevelType w:val="hybridMultilevel"/>
    <w:tmpl w:val="300A5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464218"/>
    <w:multiLevelType w:val="hybridMultilevel"/>
    <w:tmpl w:val="224E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D21B9"/>
    <w:multiLevelType w:val="hybridMultilevel"/>
    <w:tmpl w:val="1F706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1D47648"/>
    <w:multiLevelType w:val="multilevel"/>
    <w:tmpl w:val="E78A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90715"/>
    <w:multiLevelType w:val="hybridMultilevel"/>
    <w:tmpl w:val="E244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B0002"/>
    <w:multiLevelType w:val="hybridMultilevel"/>
    <w:tmpl w:val="E626FAA6"/>
    <w:lvl w:ilvl="0" w:tplc="0BCC03D2">
      <w:start w:val="1"/>
      <w:numFmt w:val="bullet"/>
      <w:lvlText w:val=""/>
      <w:lvlJc w:val="left"/>
      <w:pPr>
        <w:ind w:left="720" w:hanging="360"/>
      </w:pPr>
      <w:rPr>
        <w:rFonts w:ascii="Symbol" w:hAnsi="Symbol" w:hint="default"/>
        <w:color w:val="70AD47" w:themeColor="accent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90B5A"/>
    <w:multiLevelType w:val="hybridMultilevel"/>
    <w:tmpl w:val="45E6F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8236DB"/>
    <w:multiLevelType w:val="hybridMultilevel"/>
    <w:tmpl w:val="3AA40812"/>
    <w:lvl w:ilvl="0" w:tplc="C1BA7400">
      <w:start w:val="1"/>
      <w:numFmt w:val="bullet"/>
      <w:lvlText w:val=""/>
      <w:lvlJc w:val="left"/>
      <w:pPr>
        <w:ind w:left="720" w:hanging="360"/>
      </w:pPr>
      <w:rPr>
        <w:rFonts w:ascii="Symbol" w:hAnsi="Symbol" w:hint="default"/>
        <w:color w:val="BF8F00"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51F24"/>
    <w:multiLevelType w:val="hybridMultilevel"/>
    <w:tmpl w:val="C688F4F2"/>
    <w:lvl w:ilvl="0" w:tplc="0BCC03D2">
      <w:start w:val="1"/>
      <w:numFmt w:val="bullet"/>
      <w:lvlText w:val=""/>
      <w:lvlJc w:val="left"/>
      <w:pPr>
        <w:ind w:left="720" w:hanging="360"/>
      </w:pPr>
      <w:rPr>
        <w:rFonts w:ascii="Symbol" w:hAnsi="Symbol" w:hint="default"/>
        <w:color w:val="70AD47" w:themeColor="accent6"/>
      </w:rPr>
    </w:lvl>
    <w:lvl w:ilvl="1" w:tplc="2DD0D2F0">
      <w:start w:val="1"/>
      <w:numFmt w:val="bullet"/>
      <w:lvlText w:val="o"/>
      <w:lvlJc w:val="left"/>
      <w:pPr>
        <w:ind w:left="1440" w:hanging="360"/>
      </w:pPr>
      <w:rPr>
        <w:rFonts w:ascii="Courier New" w:hAnsi="Courier New" w:hint="default"/>
        <w:color w:val="70AD47" w:themeColor="accent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46F58"/>
    <w:multiLevelType w:val="hybridMultilevel"/>
    <w:tmpl w:val="E21ABB04"/>
    <w:lvl w:ilvl="0" w:tplc="0DCCBE24">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9759D"/>
    <w:multiLevelType w:val="multilevel"/>
    <w:tmpl w:val="9F24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1674CD"/>
    <w:multiLevelType w:val="hybridMultilevel"/>
    <w:tmpl w:val="6C5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016530"/>
    <w:multiLevelType w:val="multilevel"/>
    <w:tmpl w:val="C4A0E6C0"/>
    <w:lvl w:ilvl="0">
      <w:start w:val="1"/>
      <w:numFmt w:val="bullet"/>
      <w:lvlText w:val=""/>
      <w:lvlJc w:val="left"/>
      <w:pPr>
        <w:ind w:left="720" w:hanging="360"/>
      </w:pPr>
      <w:rPr>
        <w:rFonts w:ascii="Symbol" w:hAnsi="Symbol" w:hint="default"/>
        <w:color w:val="70AD47" w:themeColor="accent6"/>
      </w:rPr>
    </w:lvl>
    <w:lvl w:ilvl="1">
      <w:start w:val="1"/>
      <w:numFmt w:val="bullet"/>
      <w:lvlText w:val="o"/>
      <w:lvlJc w:val="left"/>
      <w:pPr>
        <w:ind w:left="1440" w:hanging="360"/>
      </w:pPr>
      <w:rPr>
        <w:rFonts w:ascii="Courier New" w:hAnsi="Courier New" w:hint="default"/>
        <w:color w:val="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F15AEC"/>
    <w:multiLevelType w:val="hybridMultilevel"/>
    <w:tmpl w:val="C4A0E6C0"/>
    <w:lvl w:ilvl="0" w:tplc="0BCC03D2">
      <w:start w:val="1"/>
      <w:numFmt w:val="bullet"/>
      <w:lvlText w:val=""/>
      <w:lvlJc w:val="left"/>
      <w:pPr>
        <w:ind w:left="720" w:hanging="360"/>
      </w:pPr>
      <w:rPr>
        <w:rFonts w:ascii="Symbol" w:hAnsi="Symbol" w:hint="default"/>
        <w:color w:val="70AD47" w:themeColor="accent6"/>
      </w:rPr>
    </w:lvl>
    <w:lvl w:ilvl="1" w:tplc="B6768508">
      <w:start w:val="1"/>
      <w:numFmt w:val="bullet"/>
      <w:lvlText w:val="o"/>
      <w:lvlJc w:val="left"/>
      <w:pPr>
        <w:ind w:left="1440" w:hanging="360"/>
      </w:pPr>
      <w:rPr>
        <w:rFonts w:ascii="Courier New" w:hAnsi="Courier New" w:hint="default"/>
        <w:color w:val="4472C4"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3616C2"/>
    <w:multiLevelType w:val="hybridMultilevel"/>
    <w:tmpl w:val="A98E3520"/>
    <w:lvl w:ilvl="0" w:tplc="0BCC03D2">
      <w:start w:val="1"/>
      <w:numFmt w:val="bullet"/>
      <w:lvlText w:val=""/>
      <w:lvlJc w:val="left"/>
      <w:pPr>
        <w:ind w:left="720" w:hanging="360"/>
      </w:pPr>
      <w:rPr>
        <w:rFonts w:ascii="Symbol" w:hAnsi="Symbol" w:hint="default"/>
        <w:color w:val="70AD47"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B8094C"/>
    <w:multiLevelType w:val="hybridMultilevel"/>
    <w:tmpl w:val="66B81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C3374B"/>
    <w:multiLevelType w:val="multilevel"/>
    <w:tmpl w:val="E626FAA6"/>
    <w:lvl w:ilvl="0">
      <w:start w:val="1"/>
      <w:numFmt w:val="bullet"/>
      <w:lvlText w:val=""/>
      <w:lvlJc w:val="left"/>
      <w:pPr>
        <w:ind w:left="720" w:hanging="360"/>
      </w:pPr>
      <w:rPr>
        <w:rFonts w:ascii="Symbol" w:hAnsi="Symbol" w:hint="default"/>
        <w:color w:val="70AD47" w:themeColor="accent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42681628">
    <w:abstractNumId w:val="7"/>
  </w:num>
  <w:num w:numId="2" w16cid:durableId="662929104">
    <w:abstractNumId w:val="14"/>
  </w:num>
  <w:num w:numId="3" w16cid:durableId="1845390826">
    <w:abstractNumId w:val="5"/>
  </w:num>
  <w:num w:numId="4" w16cid:durableId="1352032964">
    <w:abstractNumId w:val="16"/>
  </w:num>
  <w:num w:numId="5" w16cid:durableId="2093426848">
    <w:abstractNumId w:val="13"/>
  </w:num>
  <w:num w:numId="6" w16cid:durableId="344484114">
    <w:abstractNumId w:val="12"/>
  </w:num>
  <w:num w:numId="7" w16cid:durableId="1264455786">
    <w:abstractNumId w:val="8"/>
  </w:num>
  <w:num w:numId="8" w16cid:durableId="1809082048">
    <w:abstractNumId w:val="10"/>
  </w:num>
  <w:num w:numId="9" w16cid:durableId="1498351426">
    <w:abstractNumId w:val="3"/>
  </w:num>
  <w:num w:numId="10" w16cid:durableId="1515803697">
    <w:abstractNumId w:val="4"/>
  </w:num>
  <w:num w:numId="11" w16cid:durableId="271789327">
    <w:abstractNumId w:val="11"/>
  </w:num>
  <w:num w:numId="12" w16cid:durableId="1676422367">
    <w:abstractNumId w:val="1"/>
  </w:num>
  <w:num w:numId="13" w16cid:durableId="2091927642">
    <w:abstractNumId w:val="2"/>
  </w:num>
  <w:num w:numId="14" w16cid:durableId="1831362813">
    <w:abstractNumId w:val="9"/>
  </w:num>
  <w:num w:numId="15" w16cid:durableId="1222327570">
    <w:abstractNumId w:val="0"/>
  </w:num>
  <w:num w:numId="16" w16cid:durableId="1685401834">
    <w:abstractNumId w:val="6"/>
  </w:num>
  <w:num w:numId="17" w16cid:durableId="2067262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wMDEwNLewMDO3tDRT0lEKTi0uzszPAykwrAUAx3JNpywAAAA="/>
  </w:docVars>
  <w:rsids>
    <w:rsidRoot w:val="00404FD4"/>
    <w:rsid w:val="00022D3F"/>
    <w:rsid w:val="0004771C"/>
    <w:rsid w:val="000667D6"/>
    <w:rsid w:val="000815A9"/>
    <w:rsid w:val="000917BD"/>
    <w:rsid w:val="000952F1"/>
    <w:rsid w:val="000970E1"/>
    <w:rsid w:val="000A0B6A"/>
    <w:rsid w:val="000C5110"/>
    <w:rsid w:val="000E093D"/>
    <w:rsid w:val="000F31C7"/>
    <w:rsid w:val="001458C5"/>
    <w:rsid w:val="00161748"/>
    <w:rsid w:val="00163460"/>
    <w:rsid w:val="00163A18"/>
    <w:rsid w:val="00180B65"/>
    <w:rsid w:val="00182D75"/>
    <w:rsid w:val="00183638"/>
    <w:rsid w:val="00185DE9"/>
    <w:rsid w:val="001917BF"/>
    <w:rsid w:val="00192DFD"/>
    <w:rsid w:val="00194BED"/>
    <w:rsid w:val="001A168D"/>
    <w:rsid w:val="001A3DC2"/>
    <w:rsid w:val="001B06F1"/>
    <w:rsid w:val="001B1ED2"/>
    <w:rsid w:val="001D043C"/>
    <w:rsid w:val="001D3915"/>
    <w:rsid w:val="001E27FD"/>
    <w:rsid w:val="0020198D"/>
    <w:rsid w:val="00203444"/>
    <w:rsid w:val="002106D7"/>
    <w:rsid w:val="00232E65"/>
    <w:rsid w:val="0025317F"/>
    <w:rsid w:val="00254FDC"/>
    <w:rsid w:val="0025509A"/>
    <w:rsid w:val="00263A9E"/>
    <w:rsid w:val="00290334"/>
    <w:rsid w:val="002B7AC8"/>
    <w:rsid w:val="002D6730"/>
    <w:rsid w:val="002E03FA"/>
    <w:rsid w:val="002E2E0D"/>
    <w:rsid w:val="002E32D0"/>
    <w:rsid w:val="0030527B"/>
    <w:rsid w:val="00322C01"/>
    <w:rsid w:val="003369FA"/>
    <w:rsid w:val="003462F9"/>
    <w:rsid w:val="0035174A"/>
    <w:rsid w:val="003518F2"/>
    <w:rsid w:val="00365C96"/>
    <w:rsid w:val="00371BDF"/>
    <w:rsid w:val="003750B2"/>
    <w:rsid w:val="00377318"/>
    <w:rsid w:val="00385BBE"/>
    <w:rsid w:val="003943B7"/>
    <w:rsid w:val="003A72D0"/>
    <w:rsid w:val="003B2CA0"/>
    <w:rsid w:val="003B3A31"/>
    <w:rsid w:val="003E34CF"/>
    <w:rsid w:val="003F37E6"/>
    <w:rsid w:val="00404FD4"/>
    <w:rsid w:val="004276EA"/>
    <w:rsid w:val="00476ECC"/>
    <w:rsid w:val="004809F5"/>
    <w:rsid w:val="00491C6A"/>
    <w:rsid w:val="004A01A7"/>
    <w:rsid w:val="004A36F3"/>
    <w:rsid w:val="004C6F4A"/>
    <w:rsid w:val="004D082E"/>
    <w:rsid w:val="004D2C4B"/>
    <w:rsid w:val="004E0220"/>
    <w:rsid w:val="00513C8E"/>
    <w:rsid w:val="00516087"/>
    <w:rsid w:val="00517538"/>
    <w:rsid w:val="0052587E"/>
    <w:rsid w:val="0053337C"/>
    <w:rsid w:val="005412E6"/>
    <w:rsid w:val="00554489"/>
    <w:rsid w:val="00557D01"/>
    <w:rsid w:val="00585779"/>
    <w:rsid w:val="00586DAF"/>
    <w:rsid w:val="005B0D8A"/>
    <w:rsid w:val="005B22A6"/>
    <w:rsid w:val="005C4CC5"/>
    <w:rsid w:val="005D1137"/>
    <w:rsid w:val="005D29AF"/>
    <w:rsid w:val="005E0BFE"/>
    <w:rsid w:val="005F23E1"/>
    <w:rsid w:val="005F5411"/>
    <w:rsid w:val="005F7B83"/>
    <w:rsid w:val="00610C7C"/>
    <w:rsid w:val="00616447"/>
    <w:rsid w:val="006326AD"/>
    <w:rsid w:val="00640C34"/>
    <w:rsid w:val="0065374A"/>
    <w:rsid w:val="0066555F"/>
    <w:rsid w:val="00665587"/>
    <w:rsid w:val="00677EE1"/>
    <w:rsid w:val="00682172"/>
    <w:rsid w:val="00693490"/>
    <w:rsid w:val="006A2A25"/>
    <w:rsid w:val="006C65A8"/>
    <w:rsid w:val="006D4561"/>
    <w:rsid w:val="006F39D3"/>
    <w:rsid w:val="00712319"/>
    <w:rsid w:val="0071652F"/>
    <w:rsid w:val="00720E28"/>
    <w:rsid w:val="007362D0"/>
    <w:rsid w:val="00737EA9"/>
    <w:rsid w:val="0074671F"/>
    <w:rsid w:val="007471C7"/>
    <w:rsid w:val="00757806"/>
    <w:rsid w:val="007601BC"/>
    <w:rsid w:val="00763F66"/>
    <w:rsid w:val="00773862"/>
    <w:rsid w:val="00794570"/>
    <w:rsid w:val="007A02B8"/>
    <w:rsid w:val="007A3C9E"/>
    <w:rsid w:val="007C151C"/>
    <w:rsid w:val="007C175E"/>
    <w:rsid w:val="007D02E3"/>
    <w:rsid w:val="007D4DC9"/>
    <w:rsid w:val="007D5083"/>
    <w:rsid w:val="007E6F50"/>
    <w:rsid w:val="007F0B72"/>
    <w:rsid w:val="007F771B"/>
    <w:rsid w:val="00816CA2"/>
    <w:rsid w:val="00822107"/>
    <w:rsid w:val="008230DA"/>
    <w:rsid w:val="008268BF"/>
    <w:rsid w:val="0084584A"/>
    <w:rsid w:val="0085765D"/>
    <w:rsid w:val="00896664"/>
    <w:rsid w:val="008D22C9"/>
    <w:rsid w:val="008D4C3C"/>
    <w:rsid w:val="008E143C"/>
    <w:rsid w:val="008E1670"/>
    <w:rsid w:val="008E2D80"/>
    <w:rsid w:val="008E5ED3"/>
    <w:rsid w:val="008E70FD"/>
    <w:rsid w:val="008F0DBC"/>
    <w:rsid w:val="00934F53"/>
    <w:rsid w:val="009541BD"/>
    <w:rsid w:val="00970155"/>
    <w:rsid w:val="0097283E"/>
    <w:rsid w:val="009812F5"/>
    <w:rsid w:val="0099558D"/>
    <w:rsid w:val="009D0190"/>
    <w:rsid w:val="009E0B31"/>
    <w:rsid w:val="00A26138"/>
    <w:rsid w:val="00A36208"/>
    <w:rsid w:val="00A453E4"/>
    <w:rsid w:val="00A57783"/>
    <w:rsid w:val="00A6459E"/>
    <w:rsid w:val="00A77CC0"/>
    <w:rsid w:val="00A86032"/>
    <w:rsid w:val="00AB2A37"/>
    <w:rsid w:val="00AC2F3C"/>
    <w:rsid w:val="00AD736F"/>
    <w:rsid w:val="00B079BC"/>
    <w:rsid w:val="00B22B20"/>
    <w:rsid w:val="00B639C4"/>
    <w:rsid w:val="00B67E6A"/>
    <w:rsid w:val="00B74867"/>
    <w:rsid w:val="00B908F0"/>
    <w:rsid w:val="00BA70A0"/>
    <w:rsid w:val="00BC1589"/>
    <w:rsid w:val="00BE4EF2"/>
    <w:rsid w:val="00C027C2"/>
    <w:rsid w:val="00C066DC"/>
    <w:rsid w:val="00C45E37"/>
    <w:rsid w:val="00C4784A"/>
    <w:rsid w:val="00C55B62"/>
    <w:rsid w:val="00C65C21"/>
    <w:rsid w:val="00C73B21"/>
    <w:rsid w:val="00C77A98"/>
    <w:rsid w:val="00C84506"/>
    <w:rsid w:val="00CB23F9"/>
    <w:rsid w:val="00CB42E5"/>
    <w:rsid w:val="00CC094C"/>
    <w:rsid w:val="00CD0A2F"/>
    <w:rsid w:val="00CD54A9"/>
    <w:rsid w:val="00CE241B"/>
    <w:rsid w:val="00CF498B"/>
    <w:rsid w:val="00D04C57"/>
    <w:rsid w:val="00D237D2"/>
    <w:rsid w:val="00D2622F"/>
    <w:rsid w:val="00D364BF"/>
    <w:rsid w:val="00D41AA2"/>
    <w:rsid w:val="00D52953"/>
    <w:rsid w:val="00D72765"/>
    <w:rsid w:val="00D7305B"/>
    <w:rsid w:val="00D92A16"/>
    <w:rsid w:val="00D973BA"/>
    <w:rsid w:val="00DC6EF4"/>
    <w:rsid w:val="00DF56A9"/>
    <w:rsid w:val="00E077BD"/>
    <w:rsid w:val="00E103DB"/>
    <w:rsid w:val="00E106A8"/>
    <w:rsid w:val="00E1728D"/>
    <w:rsid w:val="00E53F74"/>
    <w:rsid w:val="00EC111A"/>
    <w:rsid w:val="00EC51DF"/>
    <w:rsid w:val="00ED0927"/>
    <w:rsid w:val="00ED764D"/>
    <w:rsid w:val="00EE02EB"/>
    <w:rsid w:val="00EF67C1"/>
    <w:rsid w:val="00F27CFD"/>
    <w:rsid w:val="00F37D15"/>
    <w:rsid w:val="00F63E9D"/>
    <w:rsid w:val="00F64F2C"/>
    <w:rsid w:val="00F66781"/>
    <w:rsid w:val="00F82232"/>
    <w:rsid w:val="00F826A4"/>
    <w:rsid w:val="00FA7C9F"/>
    <w:rsid w:val="00FB02A2"/>
    <w:rsid w:val="00FB0779"/>
    <w:rsid w:val="00FB0DBB"/>
    <w:rsid w:val="00FC70F2"/>
    <w:rsid w:val="00FE28DC"/>
    <w:rsid w:val="00FE7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CF3CB5D"/>
  <w15:chartTrackingRefBased/>
  <w15:docId w15:val="{DAFABB6A-3614-E946-9633-A2426B6A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CC5"/>
    <w:pPr>
      <w:ind w:left="720"/>
      <w:contextualSpacing/>
    </w:pPr>
  </w:style>
  <w:style w:type="paragraph" w:styleId="Header">
    <w:name w:val="header"/>
    <w:basedOn w:val="Normal"/>
    <w:link w:val="HeaderChar"/>
    <w:uiPriority w:val="99"/>
    <w:unhideWhenUsed/>
    <w:rsid w:val="004809F5"/>
    <w:pPr>
      <w:tabs>
        <w:tab w:val="center" w:pos="4680"/>
        <w:tab w:val="right" w:pos="9360"/>
      </w:tabs>
    </w:pPr>
  </w:style>
  <w:style w:type="character" w:customStyle="1" w:styleId="HeaderChar">
    <w:name w:val="Header Char"/>
    <w:basedOn w:val="DefaultParagraphFont"/>
    <w:link w:val="Header"/>
    <w:uiPriority w:val="99"/>
    <w:rsid w:val="004809F5"/>
  </w:style>
  <w:style w:type="paragraph" w:styleId="Footer">
    <w:name w:val="footer"/>
    <w:basedOn w:val="Normal"/>
    <w:link w:val="FooterChar"/>
    <w:uiPriority w:val="99"/>
    <w:unhideWhenUsed/>
    <w:rsid w:val="004809F5"/>
    <w:pPr>
      <w:tabs>
        <w:tab w:val="center" w:pos="4680"/>
        <w:tab w:val="right" w:pos="9360"/>
      </w:tabs>
    </w:pPr>
  </w:style>
  <w:style w:type="character" w:customStyle="1" w:styleId="FooterChar">
    <w:name w:val="Footer Char"/>
    <w:basedOn w:val="DefaultParagraphFont"/>
    <w:link w:val="Footer"/>
    <w:uiPriority w:val="99"/>
    <w:rsid w:val="004809F5"/>
  </w:style>
  <w:style w:type="paragraph" w:styleId="BalloonText">
    <w:name w:val="Balloon Text"/>
    <w:basedOn w:val="Normal"/>
    <w:link w:val="BalloonTextChar"/>
    <w:uiPriority w:val="99"/>
    <w:semiHidden/>
    <w:unhideWhenUsed/>
    <w:rsid w:val="00CF498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498B"/>
    <w:rPr>
      <w:rFonts w:ascii="Times New Roman" w:hAnsi="Times New Roman" w:cs="Times New Roman"/>
      <w:sz w:val="18"/>
      <w:szCs w:val="18"/>
    </w:rPr>
  </w:style>
  <w:style w:type="character" w:styleId="Hyperlink">
    <w:name w:val="Hyperlink"/>
    <w:basedOn w:val="DefaultParagraphFont"/>
    <w:uiPriority w:val="99"/>
    <w:unhideWhenUsed/>
    <w:rsid w:val="008E143C"/>
    <w:rPr>
      <w:color w:val="0563C1" w:themeColor="hyperlink"/>
      <w:u w:val="single"/>
    </w:rPr>
  </w:style>
  <w:style w:type="character" w:styleId="UnresolvedMention">
    <w:name w:val="Unresolved Mention"/>
    <w:basedOn w:val="DefaultParagraphFont"/>
    <w:uiPriority w:val="99"/>
    <w:semiHidden/>
    <w:unhideWhenUsed/>
    <w:rsid w:val="008E143C"/>
    <w:rPr>
      <w:color w:val="605E5C"/>
      <w:shd w:val="clear" w:color="auto" w:fill="E1DFDD"/>
    </w:rPr>
  </w:style>
  <w:style w:type="character" w:styleId="CommentReference">
    <w:name w:val="annotation reference"/>
    <w:basedOn w:val="DefaultParagraphFont"/>
    <w:uiPriority w:val="99"/>
    <w:semiHidden/>
    <w:unhideWhenUsed/>
    <w:rsid w:val="007E6F50"/>
    <w:rPr>
      <w:sz w:val="16"/>
      <w:szCs w:val="16"/>
    </w:rPr>
  </w:style>
  <w:style w:type="paragraph" w:styleId="CommentText">
    <w:name w:val="annotation text"/>
    <w:basedOn w:val="Normal"/>
    <w:link w:val="CommentTextChar"/>
    <w:uiPriority w:val="99"/>
    <w:unhideWhenUsed/>
    <w:rsid w:val="007E6F50"/>
    <w:rPr>
      <w:sz w:val="20"/>
      <w:szCs w:val="20"/>
    </w:rPr>
  </w:style>
  <w:style w:type="character" w:customStyle="1" w:styleId="CommentTextChar">
    <w:name w:val="Comment Text Char"/>
    <w:basedOn w:val="DefaultParagraphFont"/>
    <w:link w:val="CommentText"/>
    <w:uiPriority w:val="99"/>
    <w:rsid w:val="007E6F50"/>
    <w:rPr>
      <w:sz w:val="20"/>
      <w:szCs w:val="20"/>
    </w:rPr>
  </w:style>
  <w:style w:type="paragraph" w:styleId="CommentSubject">
    <w:name w:val="annotation subject"/>
    <w:basedOn w:val="CommentText"/>
    <w:next w:val="CommentText"/>
    <w:link w:val="CommentSubjectChar"/>
    <w:uiPriority w:val="99"/>
    <w:semiHidden/>
    <w:unhideWhenUsed/>
    <w:rsid w:val="007E6F50"/>
    <w:rPr>
      <w:b/>
      <w:bCs/>
    </w:rPr>
  </w:style>
  <w:style w:type="character" w:customStyle="1" w:styleId="CommentSubjectChar">
    <w:name w:val="Comment Subject Char"/>
    <w:basedOn w:val="CommentTextChar"/>
    <w:link w:val="CommentSubject"/>
    <w:uiPriority w:val="99"/>
    <w:semiHidden/>
    <w:rsid w:val="007E6F50"/>
    <w:rPr>
      <w:b/>
      <w:bCs/>
      <w:sz w:val="20"/>
      <w:szCs w:val="20"/>
    </w:rPr>
  </w:style>
  <w:style w:type="character" w:styleId="FollowedHyperlink">
    <w:name w:val="FollowedHyperlink"/>
    <w:basedOn w:val="DefaultParagraphFont"/>
    <w:uiPriority w:val="99"/>
    <w:semiHidden/>
    <w:unhideWhenUsed/>
    <w:rsid w:val="00E103DB"/>
    <w:rPr>
      <w:color w:val="954F72" w:themeColor="followedHyperlink"/>
      <w:u w:val="single"/>
    </w:rPr>
  </w:style>
  <w:style w:type="paragraph" w:styleId="Revision">
    <w:name w:val="Revision"/>
    <w:hidden/>
    <w:uiPriority w:val="99"/>
    <w:semiHidden/>
    <w:rsid w:val="006A2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6976">
      <w:bodyDiv w:val="1"/>
      <w:marLeft w:val="0"/>
      <w:marRight w:val="0"/>
      <w:marTop w:val="0"/>
      <w:marBottom w:val="0"/>
      <w:divBdr>
        <w:top w:val="none" w:sz="0" w:space="0" w:color="auto"/>
        <w:left w:val="none" w:sz="0" w:space="0" w:color="auto"/>
        <w:bottom w:val="none" w:sz="0" w:space="0" w:color="auto"/>
        <w:right w:val="none" w:sz="0" w:space="0" w:color="auto"/>
      </w:divBdr>
    </w:div>
    <w:div w:id="243295889">
      <w:bodyDiv w:val="1"/>
      <w:marLeft w:val="0"/>
      <w:marRight w:val="0"/>
      <w:marTop w:val="0"/>
      <w:marBottom w:val="0"/>
      <w:divBdr>
        <w:top w:val="none" w:sz="0" w:space="0" w:color="auto"/>
        <w:left w:val="none" w:sz="0" w:space="0" w:color="auto"/>
        <w:bottom w:val="none" w:sz="0" w:space="0" w:color="auto"/>
        <w:right w:val="none" w:sz="0" w:space="0" w:color="auto"/>
      </w:divBdr>
      <w:divsChild>
        <w:div w:id="928850096">
          <w:blockQuote w:val="1"/>
          <w:marLeft w:val="150"/>
          <w:marRight w:val="150"/>
          <w:marTop w:val="0"/>
          <w:marBottom w:val="0"/>
          <w:divBdr>
            <w:top w:val="none" w:sz="0" w:space="0" w:color="auto"/>
            <w:left w:val="none" w:sz="0" w:space="0" w:color="auto"/>
            <w:bottom w:val="none" w:sz="0" w:space="0" w:color="auto"/>
            <w:right w:val="none" w:sz="0" w:space="0" w:color="auto"/>
          </w:divBdr>
          <w:divsChild>
            <w:div w:id="842628590">
              <w:marLeft w:val="0"/>
              <w:marRight w:val="0"/>
              <w:marTop w:val="0"/>
              <w:marBottom w:val="0"/>
              <w:divBdr>
                <w:top w:val="none" w:sz="0" w:space="0" w:color="auto"/>
                <w:left w:val="none" w:sz="0" w:space="0" w:color="auto"/>
                <w:bottom w:val="none" w:sz="0" w:space="0" w:color="auto"/>
                <w:right w:val="none" w:sz="0" w:space="0" w:color="auto"/>
              </w:divBdr>
              <w:divsChild>
                <w:div w:id="101064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9584">
      <w:bodyDiv w:val="1"/>
      <w:marLeft w:val="0"/>
      <w:marRight w:val="0"/>
      <w:marTop w:val="0"/>
      <w:marBottom w:val="0"/>
      <w:divBdr>
        <w:top w:val="none" w:sz="0" w:space="0" w:color="auto"/>
        <w:left w:val="none" w:sz="0" w:space="0" w:color="auto"/>
        <w:bottom w:val="none" w:sz="0" w:space="0" w:color="auto"/>
        <w:right w:val="none" w:sz="0" w:space="0" w:color="auto"/>
      </w:divBdr>
    </w:div>
    <w:div w:id="1120025519">
      <w:bodyDiv w:val="1"/>
      <w:marLeft w:val="0"/>
      <w:marRight w:val="0"/>
      <w:marTop w:val="0"/>
      <w:marBottom w:val="0"/>
      <w:divBdr>
        <w:top w:val="none" w:sz="0" w:space="0" w:color="auto"/>
        <w:left w:val="none" w:sz="0" w:space="0" w:color="auto"/>
        <w:bottom w:val="none" w:sz="0" w:space="0" w:color="auto"/>
        <w:right w:val="none" w:sz="0" w:space="0" w:color="auto"/>
      </w:divBdr>
    </w:div>
    <w:div w:id="1565139559">
      <w:bodyDiv w:val="1"/>
      <w:marLeft w:val="0"/>
      <w:marRight w:val="0"/>
      <w:marTop w:val="0"/>
      <w:marBottom w:val="0"/>
      <w:divBdr>
        <w:top w:val="none" w:sz="0" w:space="0" w:color="auto"/>
        <w:left w:val="none" w:sz="0" w:space="0" w:color="auto"/>
        <w:bottom w:val="none" w:sz="0" w:space="0" w:color="auto"/>
        <w:right w:val="none" w:sz="0" w:space="0" w:color="auto"/>
      </w:divBdr>
      <w:divsChild>
        <w:div w:id="81799173">
          <w:blockQuote w:val="1"/>
          <w:marLeft w:val="150"/>
          <w:marRight w:val="150"/>
          <w:marTop w:val="0"/>
          <w:marBottom w:val="0"/>
          <w:divBdr>
            <w:top w:val="none" w:sz="0" w:space="0" w:color="auto"/>
            <w:left w:val="none" w:sz="0" w:space="0" w:color="auto"/>
            <w:bottom w:val="none" w:sz="0" w:space="0" w:color="auto"/>
            <w:right w:val="none" w:sz="0" w:space="0" w:color="auto"/>
          </w:divBdr>
          <w:divsChild>
            <w:div w:id="92433125">
              <w:marLeft w:val="0"/>
              <w:marRight w:val="0"/>
              <w:marTop w:val="0"/>
              <w:marBottom w:val="0"/>
              <w:divBdr>
                <w:top w:val="none" w:sz="0" w:space="0" w:color="auto"/>
                <w:left w:val="none" w:sz="0" w:space="0" w:color="auto"/>
                <w:bottom w:val="none" w:sz="0" w:space="0" w:color="auto"/>
                <w:right w:val="none" w:sz="0" w:space="0" w:color="auto"/>
              </w:divBdr>
              <w:divsChild>
                <w:div w:id="16378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74527">
      <w:bodyDiv w:val="1"/>
      <w:marLeft w:val="0"/>
      <w:marRight w:val="0"/>
      <w:marTop w:val="0"/>
      <w:marBottom w:val="0"/>
      <w:divBdr>
        <w:top w:val="none" w:sz="0" w:space="0" w:color="auto"/>
        <w:left w:val="none" w:sz="0" w:space="0" w:color="auto"/>
        <w:bottom w:val="none" w:sz="0" w:space="0" w:color="auto"/>
        <w:right w:val="none" w:sz="0" w:space="0" w:color="auto"/>
      </w:divBdr>
    </w:div>
    <w:div w:id="1819301374">
      <w:bodyDiv w:val="1"/>
      <w:marLeft w:val="0"/>
      <w:marRight w:val="0"/>
      <w:marTop w:val="0"/>
      <w:marBottom w:val="0"/>
      <w:divBdr>
        <w:top w:val="none" w:sz="0" w:space="0" w:color="auto"/>
        <w:left w:val="none" w:sz="0" w:space="0" w:color="auto"/>
        <w:bottom w:val="none" w:sz="0" w:space="0" w:color="auto"/>
        <w:right w:val="none" w:sz="0" w:space="0" w:color="auto"/>
      </w:divBdr>
      <w:divsChild>
        <w:div w:id="149761433">
          <w:marLeft w:val="0"/>
          <w:marRight w:val="0"/>
          <w:marTop w:val="0"/>
          <w:marBottom w:val="60"/>
          <w:divBdr>
            <w:top w:val="none" w:sz="0" w:space="0" w:color="auto"/>
            <w:left w:val="none" w:sz="0" w:space="0" w:color="auto"/>
            <w:bottom w:val="none" w:sz="0" w:space="0" w:color="auto"/>
            <w:right w:val="none" w:sz="0" w:space="0" w:color="auto"/>
          </w:divBdr>
        </w:div>
        <w:div w:id="1484547948">
          <w:marLeft w:val="0"/>
          <w:marRight w:val="0"/>
          <w:marTop w:val="0"/>
          <w:marBottom w:val="225"/>
          <w:divBdr>
            <w:top w:val="single" w:sz="6" w:space="11" w:color="666666"/>
            <w:left w:val="single" w:sz="6" w:space="11" w:color="666666"/>
            <w:bottom w:val="single" w:sz="6" w:space="0" w:color="666666"/>
            <w:right w:val="single" w:sz="6" w:space="11" w:color="666666"/>
          </w:divBdr>
          <w:divsChild>
            <w:div w:id="1862232774">
              <w:marLeft w:val="0"/>
              <w:marRight w:val="0"/>
              <w:marTop w:val="0"/>
              <w:marBottom w:val="60"/>
              <w:divBdr>
                <w:top w:val="none" w:sz="0" w:space="0" w:color="auto"/>
                <w:left w:val="none" w:sz="0" w:space="0" w:color="auto"/>
                <w:bottom w:val="none" w:sz="0" w:space="0" w:color="auto"/>
                <w:right w:val="none" w:sz="0" w:space="0" w:color="auto"/>
              </w:divBdr>
            </w:div>
          </w:divsChild>
        </w:div>
        <w:div w:id="1246258603">
          <w:marLeft w:val="0"/>
          <w:marRight w:val="0"/>
          <w:marTop w:val="0"/>
          <w:marBottom w:val="60"/>
          <w:divBdr>
            <w:top w:val="none" w:sz="0" w:space="0" w:color="auto"/>
            <w:left w:val="none" w:sz="0" w:space="0" w:color="auto"/>
            <w:bottom w:val="none" w:sz="0" w:space="0" w:color="auto"/>
            <w:right w:val="none" w:sz="0" w:space="0" w:color="auto"/>
          </w:divBdr>
        </w:div>
      </w:divsChild>
    </w:div>
    <w:div w:id="186844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myovant.com/myfembree-prescribing-informatio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A614B6DADF24BA1585B7429EF3F7C" ma:contentTypeVersion="0" ma:contentTypeDescription="Create a new document." ma:contentTypeScope="" ma:versionID="1f8cfb332b906df4600ab8b0da584791">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43A96-B3F5-433E-93A4-889D4EE4A1B9}">
  <ds:schemaRef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639134A5-5FCD-4F8A-9619-A9574A66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3376734-7B84-4E24-911B-3D0E35891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drew.bowden@navisyncllc.com</dc:creator>
  <cp:keywords/>
  <dc:description/>
  <cp:lastModifiedBy>Tamara Brisibe</cp:lastModifiedBy>
  <cp:revision>35</cp:revision>
  <cp:lastPrinted>2019-05-10T19:52:00Z</cp:lastPrinted>
  <dcterms:created xsi:type="dcterms:W3CDTF">2026-01-13T17:32:00Z</dcterms:created>
  <dcterms:modified xsi:type="dcterms:W3CDTF">2026-01-27T21:40:00Z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0x010100105A614B6DADF24BA1585B7429EF3F7C</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docLang">
    <vt:lpwstr>en</vt:lpwstr>
  </property>
  <property fmtid="{D5CDD505-2E9C-101B-9397-08002B2CF9AE}" pid="10" name="GrammarlyDocumentId">
    <vt:lpwstr>7fa361d1-9c5e-4f18-a444-125adb7b46f0</vt:lpwstr>
  </property>
</Properties>
</file>